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9C19DF">
      <w:pPr>
        <w:widowControl/>
        <w:adjustRightInd w:val="0"/>
        <w:snapToGrid w:val="0"/>
        <w:spacing w:line="600" w:lineRule="exact"/>
        <w:jc w:val="left"/>
        <w:rPr>
          <w:rFonts w:hint="eastAsia" w:ascii="方正公文小标宋" w:hAnsi="方正公文小标宋" w:eastAsia="方正公文小标宋" w:cs="方正公文小标宋"/>
          <w:kern w:val="0"/>
          <w:sz w:val="32"/>
          <w:szCs w:val="32"/>
          <w:lang w:eastAsia="zh-CN"/>
        </w:rPr>
      </w:pPr>
      <w:r>
        <w:rPr>
          <w:rFonts w:hint="eastAsia" w:ascii="方正公文小标宋" w:hAnsi="方正公文小标宋" w:eastAsia="方正公文小标宋" w:cs="方正公文小标宋"/>
          <w:kern w:val="0"/>
          <w:sz w:val="32"/>
          <w:szCs w:val="32"/>
          <w:lang w:eastAsia="zh-CN"/>
        </w:rPr>
        <w:t>附件：</w:t>
      </w:r>
    </w:p>
    <w:p w14:paraId="6F319A8A">
      <w:pPr>
        <w:widowControl/>
        <w:adjustRightInd w:val="0"/>
        <w:snapToGrid w:val="0"/>
        <w:spacing w:line="600" w:lineRule="exact"/>
        <w:jc w:val="center"/>
        <w:rPr>
          <w:rFonts w:hint="eastAsia" w:ascii="方正公文小标宋" w:hAnsi="方正公文小标宋" w:eastAsia="方正公文小标宋" w:cs="方正公文小标宋"/>
          <w:kern w:val="0"/>
          <w:sz w:val="44"/>
          <w:szCs w:val="44"/>
        </w:rPr>
      </w:pPr>
    </w:p>
    <w:p w14:paraId="17B01525">
      <w:pPr>
        <w:widowControl/>
        <w:adjustRightInd w:val="0"/>
        <w:snapToGrid w:val="0"/>
        <w:spacing w:line="600" w:lineRule="exact"/>
        <w:jc w:val="center"/>
        <w:rPr>
          <w:rFonts w:ascii="方正公文小标宋" w:hAnsi="方正公文小标宋" w:eastAsia="方正公文小标宋" w:cs="方正公文小标宋"/>
          <w:kern w:val="0"/>
          <w:sz w:val="44"/>
          <w:szCs w:val="44"/>
        </w:rPr>
      </w:pPr>
      <w:r>
        <w:rPr>
          <w:rFonts w:hint="eastAsia" w:ascii="方正公文小标宋" w:hAnsi="方正公文小标宋" w:eastAsia="方正公文小标宋" w:cs="方正公文小标宋"/>
          <w:kern w:val="0"/>
          <w:sz w:val="44"/>
          <w:szCs w:val="44"/>
        </w:rPr>
        <w:t>山西省资产评估机构综合评价办法</w:t>
      </w:r>
    </w:p>
    <w:p w14:paraId="1F81EC12">
      <w:pPr>
        <w:widowControl/>
        <w:adjustRightInd w:val="0"/>
        <w:snapToGrid w:val="0"/>
        <w:spacing w:line="600" w:lineRule="exact"/>
        <w:jc w:val="center"/>
        <w:rPr>
          <w:rFonts w:ascii="方正公文小标宋" w:hAnsi="方正公文小标宋" w:eastAsia="方正公文小标宋" w:cs="方正公文小标宋"/>
          <w:kern w:val="0"/>
          <w:sz w:val="44"/>
          <w:szCs w:val="44"/>
        </w:rPr>
      </w:pPr>
      <w:r>
        <w:rPr>
          <w:rFonts w:hint="eastAsia" w:ascii="方正公文小标宋" w:hAnsi="方正公文小标宋" w:eastAsia="方正公文小标宋" w:cs="方正公文小标宋"/>
          <w:kern w:val="0"/>
          <w:sz w:val="44"/>
          <w:szCs w:val="44"/>
        </w:rPr>
        <w:t>（试行）</w:t>
      </w:r>
    </w:p>
    <w:p w14:paraId="6E595017">
      <w:pPr>
        <w:widowControl/>
        <w:adjustRightInd w:val="0"/>
        <w:snapToGrid w:val="0"/>
        <w:spacing w:line="600" w:lineRule="exact"/>
        <w:jc w:val="center"/>
        <w:rPr>
          <w:rFonts w:ascii="方正公文小标宋" w:hAnsi="方正公文小标宋" w:eastAsia="方正公文小标宋" w:cs="方正公文小标宋"/>
          <w:kern w:val="0"/>
          <w:sz w:val="44"/>
          <w:szCs w:val="44"/>
        </w:rPr>
      </w:pPr>
    </w:p>
    <w:p w14:paraId="0F0F678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b/>
          <w:sz w:val="32"/>
          <w:szCs w:val="32"/>
        </w:rPr>
        <w:t>第一条</w:t>
      </w:r>
      <w:r>
        <w:rPr>
          <w:rFonts w:hint="eastAsia" w:ascii="仿宋" w:hAnsi="仿宋" w:eastAsia="仿宋"/>
          <w:sz w:val="32"/>
          <w:szCs w:val="32"/>
        </w:rPr>
        <w:t xml:space="preserve"> </w:t>
      </w:r>
      <w:r>
        <w:rPr>
          <w:rFonts w:hint="eastAsia" w:ascii="仿宋" w:hAnsi="仿宋" w:eastAsia="仿宋" w:cs="宋体"/>
          <w:kern w:val="0"/>
          <w:sz w:val="32"/>
          <w:szCs w:val="32"/>
        </w:rPr>
        <w:t>为综合反映与科学评价资产评估机构整体实力和专业胜任能力，推动资产评估行业信用体系建设，提升我省资产评估行业公信力和影响力，促进资产评估行业高质量发展，根据《中华人民共和国资产评估法》《山西省资产评估协会章程》和中国资产评估协会（以下简称中评协）《资产评估机构综合评价办法》等有关规定，制定本办法。</w:t>
      </w:r>
    </w:p>
    <w:p w14:paraId="6D702F96">
      <w:pPr>
        <w:adjustRightInd w:val="0"/>
        <w:snapToGrid w:val="0"/>
        <w:spacing w:line="560" w:lineRule="exact"/>
        <w:ind w:firstLine="640" w:firstLineChars="200"/>
        <w:rPr>
          <w:rFonts w:ascii="仿宋" w:hAnsi="仿宋" w:eastAsia="仿宋"/>
          <w:sz w:val="32"/>
          <w:szCs w:val="32"/>
        </w:rPr>
      </w:pPr>
      <w:r>
        <w:rPr>
          <w:rFonts w:hint="eastAsia" w:ascii="仿宋" w:hAnsi="仿宋" w:eastAsia="仿宋"/>
          <w:b/>
          <w:sz w:val="32"/>
          <w:szCs w:val="32"/>
        </w:rPr>
        <w:t>第二条</w:t>
      </w:r>
      <w:r>
        <w:rPr>
          <w:rFonts w:hint="eastAsia" w:ascii="仿宋" w:hAnsi="仿宋" w:eastAsia="仿宋"/>
          <w:sz w:val="32"/>
          <w:szCs w:val="32"/>
        </w:rPr>
        <w:t xml:space="preserve"> 本办法适用于在山西省财政厅备案并加入山西省资产评估协会（以下简称省评协）接受自律管理的资产评估机构。</w:t>
      </w:r>
    </w:p>
    <w:p w14:paraId="4F9455D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本办法所称资产评估师，是指加入省评协并在资产评估机构执业的资产评估师。</w:t>
      </w:r>
    </w:p>
    <w:p w14:paraId="36E66CA8">
      <w:pPr>
        <w:adjustRightInd w:val="0"/>
        <w:snapToGrid w:val="0"/>
        <w:spacing w:line="560" w:lineRule="exact"/>
        <w:ind w:firstLine="640" w:firstLineChars="200"/>
        <w:rPr>
          <w:rFonts w:ascii="仿宋" w:hAnsi="仿宋" w:eastAsia="仿宋"/>
          <w:sz w:val="32"/>
          <w:szCs w:val="32"/>
        </w:rPr>
      </w:pPr>
      <w:r>
        <w:rPr>
          <w:rFonts w:hint="eastAsia" w:ascii="仿宋_GB2312" w:hAnsi="宋体" w:eastAsia="仿宋_GB2312" w:cs="宋体"/>
          <w:b/>
          <w:bCs/>
          <w:color w:val="000000"/>
          <w:kern w:val="0"/>
          <w:sz w:val="32"/>
          <w:szCs w:val="32"/>
        </w:rPr>
        <w:t>第三条</w:t>
      </w:r>
      <w:r>
        <w:rPr>
          <w:rFonts w:hint="eastAsia" w:ascii="仿宋" w:hAnsi="仿宋" w:eastAsia="仿宋"/>
          <w:sz w:val="32"/>
          <w:szCs w:val="32"/>
        </w:rPr>
        <w:t xml:space="preserve"> 省评协遵循公开、公平、公正原则，对资产评估机构整体实力和专业胜任能力等情况进行综合评价，并公布前一百家资产评估机构排序。</w:t>
      </w:r>
    </w:p>
    <w:p w14:paraId="1DC5672D">
      <w:pPr>
        <w:adjustRightInd w:val="0"/>
        <w:snapToGrid w:val="0"/>
        <w:spacing w:line="560" w:lineRule="exact"/>
        <w:ind w:firstLine="640" w:firstLineChars="200"/>
        <w:rPr>
          <w:rFonts w:ascii="仿宋" w:hAnsi="仿宋" w:eastAsia="仿宋"/>
          <w:sz w:val="32"/>
          <w:szCs w:val="32"/>
        </w:rPr>
      </w:pPr>
      <w:r>
        <w:rPr>
          <w:rFonts w:hint="eastAsia" w:ascii="仿宋_GB2312" w:hAnsi="宋体" w:eastAsia="仿宋_GB2312" w:cs="宋体"/>
          <w:b/>
          <w:bCs/>
          <w:color w:val="000000"/>
          <w:kern w:val="0"/>
          <w:sz w:val="32"/>
          <w:szCs w:val="32"/>
        </w:rPr>
        <w:t>第四条</w:t>
      </w:r>
      <w:r>
        <w:rPr>
          <w:rFonts w:hint="eastAsia" w:ascii="仿宋" w:hAnsi="仿宋" w:eastAsia="仿宋"/>
          <w:sz w:val="32"/>
          <w:szCs w:val="32"/>
        </w:rPr>
        <w:t xml:space="preserve"> 综合评价工作由省评协负责制定综合评价规则并组织实施。</w:t>
      </w:r>
    </w:p>
    <w:p w14:paraId="1713A0A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b/>
          <w:sz w:val="32"/>
          <w:szCs w:val="32"/>
        </w:rPr>
        <w:t>第五条</w:t>
      </w:r>
      <w:r>
        <w:rPr>
          <w:rFonts w:hint="eastAsia" w:ascii="仿宋" w:hAnsi="仿宋" w:eastAsia="仿宋"/>
          <w:sz w:val="32"/>
          <w:szCs w:val="32"/>
        </w:rPr>
        <w:t xml:space="preserve"> 综合评价工作每年开展一次，评价</w:t>
      </w:r>
      <w:r>
        <w:rPr>
          <w:rFonts w:ascii="仿宋" w:hAnsi="仿宋" w:eastAsia="仿宋"/>
          <w:sz w:val="32"/>
          <w:szCs w:val="32"/>
        </w:rPr>
        <w:t>指标以</w:t>
      </w:r>
      <w:r>
        <w:rPr>
          <w:rFonts w:hint="eastAsia" w:ascii="仿宋" w:hAnsi="仿宋" w:eastAsia="仿宋"/>
          <w:sz w:val="32"/>
          <w:szCs w:val="32"/>
        </w:rPr>
        <w:t>上一会计年度</w:t>
      </w:r>
      <w:r>
        <w:rPr>
          <w:rFonts w:ascii="仿宋" w:hAnsi="仿宋" w:eastAsia="仿宋"/>
          <w:sz w:val="32"/>
          <w:szCs w:val="32"/>
        </w:rPr>
        <w:t>12月31日为基准日</w:t>
      </w:r>
      <w:r>
        <w:rPr>
          <w:rFonts w:hint="eastAsia" w:ascii="仿宋" w:hAnsi="仿宋" w:eastAsia="仿宋"/>
          <w:sz w:val="32"/>
          <w:szCs w:val="32"/>
        </w:rPr>
        <w:t>。</w:t>
      </w:r>
    </w:p>
    <w:p w14:paraId="42815532">
      <w:pPr>
        <w:adjustRightInd w:val="0"/>
        <w:snapToGrid w:val="0"/>
        <w:spacing w:line="560" w:lineRule="exact"/>
        <w:ind w:firstLine="640" w:firstLineChars="200"/>
        <w:rPr>
          <w:rFonts w:ascii="仿宋" w:hAnsi="仿宋" w:eastAsia="仿宋"/>
          <w:sz w:val="32"/>
          <w:szCs w:val="32"/>
        </w:rPr>
      </w:pPr>
      <w:r>
        <w:rPr>
          <w:rFonts w:hint="eastAsia" w:ascii="仿宋" w:hAnsi="仿宋" w:eastAsia="仿宋"/>
          <w:b/>
          <w:sz w:val="32"/>
          <w:szCs w:val="32"/>
        </w:rPr>
        <w:t>第六条</w:t>
      </w:r>
      <w:r>
        <w:rPr>
          <w:rFonts w:hint="eastAsia" w:ascii="仿宋" w:hAnsi="仿宋" w:eastAsia="仿宋"/>
          <w:sz w:val="32"/>
          <w:szCs w:val="32"/>
        </w:rPr>
        <w:t xml:space="preserve"> 完成财政备案满一个会计年度，符合资产评估法第十五条规定条件的资产评估机构，自愿参加综合评价。</w:t>
      </w:r>
    </w:p>
    <w:p w14:paraId="57E6BFE1">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资产评估机构及其评估专业人员有下列情形的，不得参加综合评价：</w:t>
      </w:r>
    </w:p>
    <w:p w14:paraId="0E7E052A">
      <w:pPr>
        <w:widowControl/>
        <w:adjustRightInd w:val="0"/>
        <w:snapToGrid w:val="0"/>
        <w:spacing w:line="560" w:lineRule="exact"/>
        <w:ind w:firstLine="640" w:firstLineChars="200"/>
        <w:rPr>
          <w:rFonts w:ascii="仿宋" w:hAnsi="仿宋" w:eastAsia="仿宋" w:cs="宋体"/>
          <w:color w:val="000000"/>
          <w:kern w:val="0"/>
          <w:sz w:val="32"/>
          <w:szCs w:val="32"/>
        </w:rPr>
      </w:pPr>
      <w:r>
        <w:rPr>
          <w:rFonts w:hint="eastAsia" w:ascii="仿宋" w:hAnsi="仿宋" w:eastAsia="仿宋"/>
          <w:sz w:val="32"/>
          <w:szCs w:val="32"/>
        </w:rPr>
        <w:t>（一）资产评估机构前三个会计年度</w:t>
      </w:r>
      <w:r>
        <w:rPr>
          <w:rFonts w:hint="eastAsia" w:ascii="仿宋" w:hAnsi="仿宋" w:eastAsia="仿宋" w:cs="宋体"/>
          <w:color w:val="000000"/>
          <w:kern w:val="0"/>
          <w:sz w:val="32"/>
          <w:szCs w:val="32"/>
        </w:rPr>
        <w:t>因违法执业被依法追究刑事责任的；</w:t>
      </w:r>
      <w:r>
        <w:rPr>
          <w:rFonts w:hint="eastAsia" w:ascii="宋体" w:hAnsi="宋体" w:cs="宋体"/>
          <w:color w:val="000000"/>
          <w:kern w:val="0"/>
          <w:sz w:val="32"/>
          <w:szCs w:val="32"/>
        </w:rPr>
        <w:t> </w:t>
      </w:r>
    </w:p>
    <w:p w14:paraId="0F7AB863">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（二）资产评估机构上一会计年度受到责令停业6个月以上（含6个月）的行政处罚；</w:t>
      </w:r>
    </w:p>
    <w:p w14:paraId="112E888A">
      <w:pPr>
        <w:widowControl/>
        <w:adjustRightInd w:val="0"/>
        <w:snapToGrid w:val="0"/>
        <w:spacing w:line="560" w:lineRule="exact"/>
        <w:ind w:firstLine="640" w:firstLineChars="200"/>
        <w:rPr>
          <w:rFonts w:ascii="仿宋" w:hAnsi="仿宋" w:eastAsia="仿宋" w:cs="宋体"/>
          <w:color w:val="000000"/>
          <w:kern w:val="0"/>
          <w:sz w:val="32"/>
          <w:szCs w:val="32"/>
        </w:rPr>
      </w:pPr>
      <w:r>
        <w:rPr>
          <w:rFonts w:hint="eastAsia" w:ascii="仿宋" w:hAnsi="仿宋" w:eastAsia="仿宋"/>
          <w:sz w:val="32"/>
          <w:szCs w:val="32"/>
        </w:rPr>
        <w:t>（三）</w:t>
      </w:r>
      <w:r>
        <w:rPr>
          <w:rFonts w:hint="eastAsia" w:ascii="仿宋" w:hAnsi="仿宋" w:eastAsia="仿宋" w:cs="宋体"/>
          <w:color w:val="000000"/>
          <w:kern w:val="0"/>
          <w:sz w:val="32"/>
          <w:szCs w:val="32"/>
        </w:rPr>
        <w:t>资产评估机构及其评估专业人员逾期拒不履行处罚决定，情节严重的。</w:t>
      </w:r>
    </w:p>
    <w:p w14:paraId="6C1DC0B7">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b/>
          <w:sz w:val="32"/>
          <w:szCs w:val="32"/>
        </w:rPr>
        <w:t xml:space="preserve">第七条 </w:t>
      </w:r>
      <w:r>
        <w:rPr>
          <w:rFonts w:hint="eastAsia" w:ascii="仿宋" w:hAnsi="仿宋" w:eastAsia="仿宋"/>
          <w:sz w:val="32"/>
          <w:szCs w:val="32"/>
        </w:rPr>
        <w:t>各资产评估机构以独立备案资产评估资质、独立法人（合伙）身份参加综合评价。</w:t>
      </w:r>
    </w:p>
    <w:p w14:paraId="2A92D5E3">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本省资产评估机构设立的分支机构，各项指标数据按照“不重不漏”原则，抵消内部协作收入后并入所属资产评估机构。省外资产评估机构在山西设立的分支机构，以分支机构的名义参加综合评价。</w:t>
      </w:r>
    </w:p>
    <w:p w14:paraId="275BC6D3">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资产评估机构发生吸收合并，上一会计年度</w:t>
      </w:r>
      <w:r>
        <w:rPr>
          <w:rFonts w:ascii="仿宋" w:hAnsi="仿宋" w:eastAsia="仿宋"/>
          <w:sz w:val="32"/>
          <w:szCs w:val="32"/>
        </w:rPr>
        <w:t>12</w:t>
      </w:r>
      <w:r>
        <w:rPr>
          <w:rFonts w:hint="eastAsia" w:ascii="仿宋" w:hAnsi="仿宋" w:eastAsia="仿宋"/>
          <w:sz w:val="32"/>
          <w:szCs w:val="32"/>
        </w:rPr>
        <w:t>月</w:t>
      </w:r>
      <w:r>
        <w:rPr>
          <w:rFonts w:ascii="仿宋" w:hAnsi="仿宋" w:eastAsia="仿宋"/>
          <w:sz w:val="32"/>
          <w:szCs w:val="32"/>
        </w:rPr>
        <w:t>31</w:t>
      </w:r>
      <w:r>
        <w:rPr>
          <w:rFonts w:hint="eastAsia" w:ascii="仿宋" w:hAnsi="仿宋" w:eastAsia="仿宋"/>
          <w:sz w:val="32"/>
          <w:szCs w:val="32"/>
        </w:rPr>
        <w:t>日前在财政部门完成变更手续的，参加综合评价时，被吸收合并的资产评估机构收入指标数据并入存续资产评估机构。</w:t>
      </w:r>
    </w:p>
    <w:p w14:paraId="46A1FECD">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资产评估机构发生分立，上一会计年度</w:t>
      </w:r>
      <w:r>
        <w:rPr>
          <w:rFonts w:ascii="仿宋" w:hAnsi="仿宋" w:eastAsia="仿宋"/>
          <w:sz w:val="32"/>
          <w:szCs w:val="32"/>
        </w:rPr>
        <w:t>12</w:t>
      </w:r>
      <w:r>
        <w:rPr>
          <w:rFonts w:hint="eastAsia" w:ascii="仿宋" w:hAnsi="仿宋" w:eastAsia="仿宋"/>
          <w:sz w:val="32"/>
          <w:szCs w:val="32"/>
        </w:rPr>
        <w:t>月</w:t>
      </w:r>
      <w:r>
        <w:rPr>
          <w:rFonts w:ascii="仿宋" w:hAnsi="仿宋" w:eastAsia="仿宋"/>
          <w:sz w:val="32"/>
          <w:szCs w:val="32"/>
        </w:rPr>
        <w:t>31</w:t>
      </w:r>
      <w:r>
        <w:rPr>
          <w:rFonts w:hint="eastAsia" w:ascii="仿宋" w:hAnsi="仿宋" w:eastAsia="仿宋"/>
          <w:sz w:val="32"/>
          <w:szCs w:val="32"/>
        </w:rPr>
        <w:t>日前在财政部门完成变更手续的，参加综合评价时，存续的资产评估机构继承原机构的收入指标数据。</w:t>
      </w:r>
    </w:p>
    <w:p w14:paraId="424443BE">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b/>
          <w:sz w:val="32"/>
          <w:szCs w:val="32"/>
        </w:rPr>
        <w:t xml:space="preserve">第八条 </w:t>
      </w:r>
      <w:r>
        <w:rPr>
          <w:rFonts w:hint="eastAsia" w:ascii="仿宋" w:hAnsi="仿宋" w:eastAsia="仿宋"/>
          <w:sz w:val="32"/>
          <w:szCs w:val="32"/>
        </w:rPr>
        <w:t>开展综合评价工作，所依据的指标具体如下：</w:t>
      </w:r>
    </w:p>
    <w:p w14:paraId="05233A9B">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（一）营业收入。</w:t>
      </w:r>
      <w:bookmarkStart w:id="0" w:name="OLE_LINK1"/>
      <w:bookmarkStart w:id="1" w:name="OLE_LINK2"/>
      <w:r>
        <w:rPr>
          <w:rFonts w:hint="eastAsia" w:ascii="仿宋" w:hAnsi="仿宋" w:eastAsia="仿宋"/>
          <w:sz w:val="32"/>
          <w:szCs w:val="32"/>
        </w:rPr>
        <w:t>指资产评估机构上一会计年度从事各项业务取得的收入总和</w:t>
      </w:r>
      <w:bookmarkEnd w:id="0"/>
      <w:bookmarkEnd w:id="1"/>
      <w:r>
        <w:rPr>
          <w:rFonts w:hint="eastAsia" w:ascii="仿宋" w:hAnsi="仿宋" w:eastAsia="仿宋"/>
          <w:sz w:val="32"/>
          <w:szCs w:val="32"/>
        </w:rPr>
        <w:t>。</w:t>
      </w:r>
    </w:p>
    <w:p w14:paraId="0CF65A79">
      <w:pPr>
        <w:widowControl/>
        <w:adjustRightInd w:val="0"/>
        <w:snapToGrid w:val="0"/>
        <w:spacing w:line="600" w:lineRule="exact"/>
        <w:ind w:firstLine="640" w:firstLineChars="200"/>
        <w:rPr>
          <w:rFonts w:ascii="仿宋" w:hAnsi="仿宋" w:eastAsia="仿宋"/>
          <w:sz w:val="32"/>
          <w:szCs w:val="32"/>
        </w:rPr>
      </w:pPr>
    </w:p>
    <w:tbl>
      <w:tblPr>
        <w:tblStyle w:val="3"/>
        <w:tblW w:w="0" w:type="auto"/>
        <w:tblInd w:w="817"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268"/>
        <w:gridCol w:w="4678"/>
      </w:tblGrid>
      <w:tr w14:paraId="2DEDC89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68" w:type="dxa"/>
            <w:vMerge w:val="restart"/>
            <w:vAlign w:val="center"/>
          </w:tcPr>
          <w:p w14:paraId="52A338B8">
            <w:pPr>
              <w:widowControl/>
              <w:adjustRightInd w:val="0"/>
              <w:snapToGrid w:val="0"/>
              <w:spacing w:line="600" w:lineRule="exact"/>
              <w:rPr>
                <w:rFonts w:ascii="仿宋" w:hAnsi="仿宋" w:eastAsia="仿宋" w:cs="仿宋"/>
                <w:sz w:val="28"/>
                <w:szCs w:val="28"/>
              </w:rPr>
            </w:pPr>
            <w:r>
              <w:rPr>
                <w:rFonts w:hint="eastAsia" w:ascii="仿宋" w:hAnsi="仿宋" w:eastAsia="仿宋" w:cs="仿宋"/>
                <w:sz w:val="28"/>
                <w:szCs w:val="28"/>
              </w:rPr>
              <w:t>指标得分=100</w:t>
            </w:r>
            <w:r>
              <w:rPr>
                <w:rFonts w:hint="eastAsia" w:ascii="仿宋" w:hAnsi="仿宋" w:eastAsia="仿宋" w:cs="宋体"/>
                <w:color w:val="000000"/>
                <w:kern w:val="0"/>
                <w:sz w:val="28"/>
                <w:szCs w:val="28"/>
                <w:shd w:val="clear" w:color="auto" w:fill="FFFFFF"/>
              </w:rPr>
              <w:t>×</w:t>
            </w:r>
          </w:p>
        </w:tc>
        <w:tc>
          <w:tcPr>
            <w:tcW w:w="4678" w:type="dxa"/>
          </w:tcPr>
          <w:p w14:paraId="16A3B28B">
            <w:pPr>
              <w:widowControl/>
              <w:adjustRightInd w:val="0"/>
              <w:snapToGrid w:val="0"/>
              <w:spacing w:line="600" w:lineRule="exact"/>
              <w:ind w:firstLine="280" w:firstLineChars="100"/>
              <w:rPr>
                <w:rFonts w:ascii="仿宋" w:hAnsi="仿宋" w:eastAsia="仿宋" w:cs="宋体"/>
                <w:color w:val="000000"/>
                <w:kern w:val="0"/>
                <w:sz w:val="28"/>
                <w:szCs w:val="28"/>
                <w:shd w:val="clear" w:color="auto" w:fill="FFFFFF"/>
              </w:rPr>
            </w:pPr>
            <w:r>
              <w:rPr>
                <w:rFonts w:hint="eastAsia" w:ascii="仿宋" w:hAnsi="仿宋" w:eastAsia="仿宋" w:cs="宋体"/>
                <w:color w:val="000000"/>
                <w:kern w:val="0"/>
                <w:sz w:val="28"/>
                <w:szCs w:val="28"/>
                <w:shd w:val="clear" w:color="auto" w:fill="FFFFFF"/>
              </w:rPr>
              <w:t>本机构营业收入</w:t>
            </w:r>
          </w:p>
        </w:tc>
      </w:tr>
      <w:tr w14:paraId="53661EC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68" w:type="dxa"/>
            <w:vMerge w:val="continue"/>
          </w:tcPr>
          <w:p w14:paraId="3E8A44D4">
            <w:pPr>
              <w:widowControl/>
              <w:adjustRightInd w:val="0"/>
              <w:snapToGrid w:val="0"/>
              <w:spacing w:line="600" w:lineRule="exact"/>
              <w:rPr>
                <w:rFonts w:ascii="仿宋" w:hAnsi="仿宋" w:eastAsia="仿宋" w:cs="仿宋"/>
                <w:sz w:val="28"/>
                <w:szCs w:val="28"/>
              </w:rPr>
            </w:pPr>
          </w:p>
        </w:tc>
        <w:tc>
          <w:tcPr>
            <w:tcW w:w="4678" w:type="dxa"/>
          </w:tcPr>
          <w:p w14:paraId="3133C2BE">
            <w:pPr>
              <w:widowControl/>
              <w:adjustRightInd w:val="0"/>
              <w:snapToGrid w:val="0"/>
              <w:spacing w:line="600" w:lineRule="exact"/>
              <w:rPr>
                <w:rFonts w:ascii="仿宋" w:hAnsi="仿宋" w:eastAsia="仿宋" w:cs="仿宋"/>
                <w:sz w:val="28"/>
                <w:szCs w:val="28"/>
              </w:rPr>
            </w:pPr>
            <w:r>
              <w:rPr>
                <w:rFonts w:hint="eastAsia" w:ascii="仿宋" w:hAnsi="仿宋" w:eastAsia="仿宋" w:cs="宋体"/>
                <w:color w:val="000000"/>
                <w:kern w:val="0"/>
                <w:sz w:val="28"/>
                <w:szCs w:val="28"/>
                <w:shd w:val="clear" w:color="auto" w:fill="FFFFFF"/>
              </w:rPr>
              <w:t>max(参评资产评估机构营业收入)</w:t>
            </w:r>
          </w:p>
        </w:tc>
      </w:tr>
    </w:tbl>
    <w:p w14:paraId="44BA4CE2">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（二）资产评估业务收入。指资产评估机构上一会计年度从事资产评估业务取得的收入。资产评估机构在从事资产评估业务的同时，从事房地产估价、土地估</w:t>
      </w:r>
      <w:r>
        <w:rPr>
          <w:rFonts w:ascii="仿宋" w:hAnsi="仿宋" w:eastAsia="仿宋"/>
          <w:sz w:val="32"/>
          <w:szCs w:val="32"/>
        </w:rPr>
        <w:t>价、矿业权评估等其他专业领域评估业务的</w:t>
      </w:r>
      <w:r>
        <w:rPr>
          <w:rFonts w:hint="eastAsia" w:ascii="仿宋" w:hAnsi="仿宋" w:eastAsia="仿宋"/>
          <w:sz w:val="32"/>
          <w:szCs w:val="32"/>
        </w:rPr>
        <w:t>，其营业收入扣除该专业领域评估业务收入后，作为资产评估业务收入。</w:t>
      </w:r>
    </w:p>
    <w:tbl>
      <w:tblPr>
        <w:tblStyle w:val="3"/>
        <w:tblpPr w:leftFromText="180" w:rightFromText="180" w:vertAnchor="text" w:horzAnchor="page" w:tblpX="2263" w:tblpY="350"/>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235"/>
        <w:gridCol w:w="5811"/>
      </w:tblGrid>
      <w:tr w14:paraId="7268708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PrEx>
        <w:trPr>
          <w:trHeight w:val="57" w:hRule="atLeast"/>
        </w:trPr>
        <w:tc>
          <w:tcPr>
            <w:tcW w:w="2235" w:type="dxa"/>
            <w:vMerge w:val="restart"/>
            <w:vAlign w:val="center"/>
          </w:tcPr>
          <w:p w14:paraId="1D0279C9">
            <w:pPr>
              <w:widowControl/>
              <w:adjustRightInd w:val="0"/>
              <w:snapToGrid w:val="0"/>
              <w:spacing w:line="600" w:lineRule="exact"/>
              <w:rPr>
                <w:rFonts w:ascii="仿宋" w:hAnsi="仿宋" w:eastAsia="仿宋" w:cs="仿宋"/>
                <w:b/>
                <w:sz w:val="28"/>
                <w:szCs w:val="28"/>
              </w:rPr>
            </w:pPr>
            <w:r>
              <w:rPr>
                <w:rFonts w:hint="eastAsia" w:ascii="仿宋" w:hAnsi="仿宋" w:eastAsia="仿宋" w:cs="仿宋"/>
                <w:sz w:val="28"/>
                <w:szCs w:val="28"/>
              </w:rPr>
              <w:t>指标得分=100×</w:t>
            </w:r>
          </w:p>
        </w:tc>
        <w:tc>
          <w:tcPr>
            <w:tcW w:w="5811" w:type="dxa"/>
            <w:vAlign w:val="center"/>
          </w:tcPr>
          <w:p w14:paraId="411B8499">
            <w:pPr>
              <w:widowControl/>
              <w:adjustRightInd w:val="0"/>
              <w:snapToGrid w:val="0"/>
              <w:spacing w:line="600" w:lineRule="exact"/>
              <w:rPr>
                <w:rFonts w:ascii="仿宋" w:hAnsi="仿宋" w:eastAsia="仿宋" w:cs="仿宋"/>
                <w:sz w:val="28"/>
                <w:szCs w:val="28"/>
              </w:rPr>
            </w:pPr>
            <w:r>
              <w:rPr>
                <w:rFonts w:hint="eastAsia" w:ascii="仿宋" w:hAnsi="仿宋" w:eastAsia="仿宋" w:cs="宋体"/>
                <w:color w:val="000000"/>
                <w:kern w:val="0"/>
                <w:sz w:val="28"/>
                <w:szCs w:val="28"/>
                <w:shd w:val="clear" w:color="auto" w:fill="FFFFFF"/>
              </w:rPr>
              <w:t>本机构资产评估业务收入</w:t>
            </w:r>
          </w:p>
        </w:tc>
      </w:tr>
      <w:tr w14:paraId="425DEC0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35" w:type="dxa"/>
            <w:vMerge w:val="continue"/>
          </w:tcPr>
          <w:p w14:paraId="081E008D">
            <w:pPr>
              <w:widowControl/>
              <w:adjustRightInd w:val="0"/>
              <w:snapToGrid w:val="0"/>
              <w:spacing w:line="600" w:lineRule="exact"/>
              <w:rPr>
                <w:rFonts w:ascii="仿宋" w:hAnsi="仿宋" w:eastAsia="仿宋" w:cs="仿宋"/>
                <w:b/>
                <w:sz w:val="28"/>
                <w:szCs w:val="28"/>
              </w:rPr>
            </w:pPr>
          </w:p>
        </w:tc>
        <w:tc>
          <w:tcPr>
            <w:tcW w:w="5811" w:type="dxa"/>
            <w:vAlign w:val="center"/>
          </w:tcPr>
          <w:p w14:paraId="32523D66">
            <w:pPr>
              <w:widowControl/>
              <w:adjustRightInd w:val="0"/>
              <w:snapToGrid w:val="0"/>
              <w:spacing w:line="600" w:lineRule="exact"/>
              <w:rPr>
                <w:rFonts w:ascii="仿宋" w:hAnsi="仿宋" w:eastAsia="仿宋" w:cs="仿宋"/>
                <w:sz w:val="28"/>
                <w:szCs w:val="28"/>
              </w:rPr>
            </w:pPr>
            <w:r>
              <w:rPr>
                <w:rFonts w:ascii="仿宋" w:hAnsi="仿宋" w:eastAsia="仿宋" w:cs="宋体"/>
                <w:color w:val="000000"/>
                <w:kern w:val="0"/>
                <w:sz w:val="28"/>
                <w:szCs w:val="28"/>
                <w:shd w:val="clear" w:color="auto" w:fill="FFFFFF"/>
              </w:rPr>
              <w:t>max</w:t>
            </w:r>
            <w:r>
              <w:rPr>
                <w:rFonts w:hint="eastAsia" w:ascii="仿宋" w:hAnsi="仿宋" w:eastAsia="仿宋" w:cs="仿宋"/>
                <w:color w:val="000000"/>
                <w:kern w:val="0"/>
                <w:sz w:val="28"/>
                <w:szCs w:val="28"/>
                <w:shd w:val="clear" w:color="auto" w:fill="FFFFFF"/>
              </w:rPr>
              <w:t>(</w:t>
            </w:r>
            <w:r>
              <w:rPr>
                <w:rFonts w:hint="eastAsia" w:ascii="仿宋" w:hAnsi="仿宋" w:eastAsia="仿宋" w:cs="宋体"/>
                <w:color w:val="000000"/>
                <w:kern w:val="0"/>
                <w:sz w:val="28"/>
                <w:szCs w:val="28"/>
                <w:shd w:val="clear" w:color="auto" w:fill="FFFFFF"/>
              </w:rPr>
              <w:t>参评资产评估机构资产评估业务收入）</w:t>
            </w:r>
          </w:p>
        </w:tc>
      </w:tr>
    </w:tbl>
    <w:p w14:paraId="153E012E">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（三）资产评估师数量。指资产评估机构上一会计年度资产评估师全年平均人数。</w:t>
      </w:r>
    </w:p>
    <w:tbl>
      <w:tblPr>
        <w:tblStyle w:val="3"/>
        <w:tblpPr w:leftFromText="180" w:rightFromText="180" w:vertAnchor="text" w:horzAnchor="page" w:tblpXSpec="center" w:tblpY="46"/>
        <w:tblW w:w="0" w:type="auto"/>
        <w:jc w:val="center"/>
        <w:tblLayout w:type="autofit"/>
        <w:tblCellMar>
          <w:top w:w="0" w:type="dxa"/>
          <w:left w:w="108" w:type="dxa"/>
          <w:bottom w:w="0" w:type="dxa"/>
          <w:right w:w="108" w:type="dxa"/>
        </w:tblCellMar>
      </w:tblPr>
      <w:tblGrid>
        <w:gridCol w:w="2287"/>
        <w:gridCol w:w="5525"/>
      </w:tblGrid>
      <w:tr w14:paraId="3AB76910">
        <w:trPr>
          <w:trHeight w:val="57" w:hRule="atLeast"/>
          <w:jc w:val="center"/>
        </w:trPr>
        <w:tc>
          <w:tcPr>
            <w:tcW w:w="2287" w:type="dxa"/>
            <w:vMerge w:val="restart"/>
            <w:vAlign w:val="center"/>
          </w:tcPr>
          <w:p w14:paraId="0979A838">
            <w:pPr>
              <w:widowControl/>
              <w:adjustRightInd w:val="0"/>
              <w:snapToGrid w:val="0"/>
              <w:spacing w:line="600" w:lineRule="exact"/>
              <w:rPr>
                <w:rFonts w:ascii="仿宋" w:hAnsi="仿宋" w:eastAsia="仿宋" w:cs="仿宋"/>
                <w:b/>
                <w:sz w:val="28"/>
                <w:szCs w:val="28"/>
              </w:rPr>
            </w:pPr>
            <w:r>
              <w:rPr>
                <w:rFonts w:hint="eastAsia" w:ascii="仿宋" w:hAnsi="仿宋" w:eastAsia="仿宋" w:cs="仿宋"/>
                <w:sz w:val="28"/>
                <w:szCs w:val="28"/>
              </w:rPr>
              <w:t>指标得分=100×</w:t>
            </w:r>
          </w:p>
        </w:tc>
        <w:tc>
          <w:tcPr>
            <w:tcW w:w="5525" w:type="dxa"/>
            <w:tcBorders>
              <w:bottom w:val="single" w:color="auto" w:sz="4" w:space="0"/>
            </w:tcBorders>
            <w:vAlign w:val="center"/>
          </w:tcPr>
          <w:p w14:paraId="61DD5706">
            <w:pPr>
              <w:widowControl/>
              <w:adjustRightInd w:val="0"/>
              <w:snapToGrid w:val="0"/>
              <w:spacing w:line="600" w:lineRule="exact"/>
              <w:rPr>
                <w:rFonts w:ascii="仿宋" w:hAnsi="仿宋" w:eastAsia="仿宋" w:cs="仿宋"/>
                <w:sz w:val="28"/>
                <w:szCs w:val="28"/>
              </w:rPr>
            </w:pPr>
            <w:r>
              <w:rPr>
                <w:rFonts w:hint="eastAsia" w:ascii="仿宋" w:hAnsi="仿宋" w:eastAsia="仿宋" w:cs="宋体"/>
                <w:color w:val="000000"/>
                <w:kern w:val="0"/>
                <w:sz w:val="28"/>
                <w:szCs w:val="28"/>
                <w:shd w:val="clear" w:color="auto" w:fill="FFFFFF"/>
              </w:rPr>
              <w:t>本机构资产评估师数量</w:t>
            </w:r>
          </w:p>
        </w:tc>
      </w:tr>
      <w:tr w14:paraId="41495B87">
        <w:tblPrEx>
          <w:tblCellMar>
            <w:top w:w="0" w:type="dxa"/>
            <w:left w:w="108" w:type="dxa"/>
            <w:bottom w:w="0" w:type="dxa"/>
            <w:right w:w="108" w:type="dxa"/>
          </w:tblCellMar>
        </w:tblPrEx>
        <w:trPr>
          <w:trHeight w:val="57" w:hRule="atLeast"/>
          <w:jc w:val="center"/>
        </w:trPr>
        <w:tc>
          <w:tcPr>
            <w:tcW w:w="2287" w:type="dxa"/>
            <w:vMerge w:val="continue"/>
          </w:tcPr>
          <w:p w14:paraId="4F147826">
            <w:pPr>
              <w:widowControl/>
              <w:adjustRightInd w:val="0"/>
              <w:snapToGrid w:val="0"/>
              <w:spacing w:line="600" w:lineRule="exact"/>
              <w:rPr>
                <w:rFonts w:ascii="仿宋" w:hAnsi="仿宋" w:eastAsia="仿宋" w:cs="仿宋"/>
                <w:b/>
                <w:sz w:val="28"/>
                <w:szCs w:val="28"/>
              </w:rPr>
            </w:pPr>
          </w:p>
        </w:tc>
        <w:tc>
          <w:tcPr>
            <w:tcW w:w="5525" w:type="dxa"/>
            <w:tcBorders>
              <w:top w:val="single" w:color="auto" w:sz="4" w:space="0"/>
            </w:tcBorders>
            <w:vAlign w:val="center"/>
          </w:tcPr>
          <w:p w14:paraId="54F0F6C8">
            <w:pPr>
              <w:widowControl/>
              <w:adjustRightInd w:val="0"/>
              <w:snapToGrid w:val="0"/>
              <w:spacing w:line="600" w:lineRule="exact"/>
              <w:rPr>
                <w:rFonts w:ascii="仿宋" w:hAnsi="仿宋" w:eastAsia="仿宋" w:cs="仿宋"/>
                <w:sz w:val="28"/>
                <w:szCs w:val="28"/>
              </w:rPr>
            </w:pPr>
            <w:r>
              <w:rPr>
                <w:rFonts w:ascii="仿宋" w:hAnsi="仿宋" w:eastAsia="仿宋" w:cs="宋体"/>
                <w:color w:val="000000"/>
                <w:kern w:val="0"/>
                <w:sz w:val="28"/>
                <w:szCs w:val="28"/>
                <w:shd w:val="clear" w:color="auto" w:fill="FFFFFF"/>
              </w:rPr>
              <w:t>max</w:t>
            </w:r>
            <w:r>
              <w:rPr>
                <w:rFonts w:hint="eastAsia" w:ascii="仿宋" w:hAnsi="仿宋" w:eastAsia="仿宋" w:cs="仿宋"/>
                <w:color w:val="000000"/>
                <w:kern w:val="0"/>
                <w:sz w:val="28"/>
                <w:szCs w:val="28"/>
                <w:shd w:val="clear" w:color="auto" w:fill="FFFFFF"/>
              </w:rPr>
              <w:t>(</w:t>
            </w:r>
            <w:r>
              <w:rPr>
                <w:rFonts w:hint="eastAsia" w:ascii="仿宋" w:hAnsi="仿宋" w:eastAsia="仿宋" w:cs="宋体"/>
                <w:color w:val="000000"/>
                <w:kern w:val="0"/>
                <w:sz w:val="28"/>
                <w:szCs w:val="28"/>
                <w:shd w:val="clear" w:color="auto" w:fill="FFFFFF"/>
              </w:rPr>
              <w:t>参评资产评估机构资产评估师数量）</w:t>
            </w:r>
          </w:p>
        </w:tc>
      </w:tr>
    </w:tbl>
    <w:p w14:paraId="05B7C440">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（四）党群建设。包括资产评估机构党群组织建设、党组织政治功能和组织功能发挥、参加党群组织活动等内容。</w:t>
      </w:r>
    </w:p>
    <w:tbl>
      <w:tblPr>
        <w:tblStyle w:val="3"/>
        <w:tblpPr w:leftFromText="180" w:rightFromText="180" w:vertAnchor="text" w:horzAnchor="page" w:tblpX="2263" w:tblpY="350"/>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235"/>
        <w:gridCol w:w="5811"/>
      </w:tblGrid>
      <w:tr w14:paraId="69BFD96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PrEx>
        <w:trPr>
          <w:trHeight w:val="57" w:hRule="atLeast"/>
        </w:trPr>
        <w:tc>
          <w:tcPr>
            <w:tcW w:w="2235" w:type="dxa"/>
            <w:vMerge w:val="restart"/>
            <w:vAlign w:val="center"/>
          </w:tcPr>
          <w:p w14:paraId="0765D1A5">
            <w:pPr>
              <w:widowControl/>
              <w:adjustRightInd w:val="0"/>
              <w:snapToGrid w:val="0"/>
              <w:spacing w:line="600" w:lineRule="exact"/>
              <w:rPr>
                <w:rFonts w:ascii="仿宋" w:hAnsi="仿宋" w:eastAsia="仿宋" w:cs="仿宋"/>
                <w:b/>
                <w:sz w:val="28"/>
                <w:szCs w:val="28"/>
              </w:rPr>
            </w:pPr>
            <w:r>
              <w:rPr>
                <w:rFonts w:hint="eastAsia" w:ascii="仿宋" w:hAnsi="仿宋" w:eastAsia="仿宋" w:cs="仿宋"/>
                <w:sz w:val="28"/>
                <w:szCs w:val="28"/>
              </w:rPr>
              <w:t>指标得分=100×</w:t>
            </w:r>
          </w:p>
        </w:tc>
        <w:tc>
          <w:tcPr>
            <w:tcW w:w="5811" w:type="dxa"/>
            <w:vAlign w:val="center"/>
          </w:tcPr>
          <w:p w14:paraId="607C1E3B">
            <w:pPr>
              <w:widowControl/>
              <w:adjustRightInd w:val="0"/>
              <w:snapToGrid w:val="0"/>
              <w:spacing w:line="600" w:lineRule="exact"/>
              <w:rPr>
                <w:rFonts w:ascii="仿宋" w:hAnsi="仿宋" w:eastAsia="仿宋" w:cs="仿宋"/>
                <w:sz w:val="28"/>
                <w:szCs w:val="28"/>
              </w:rPr>
            </w:pPr>
            <w:r>
              <w:rPr>
                <w:rFonts w:hint="eastAsia" w:ascii="仿宋" w:hAnsi="仿宋" w:eastAsia="仿宋" w:cs="仿宋"/>
                <w:sz w:val="28"/>
                <w:szCs w:val="28"/>
              </w:rPr>
              <w:t>资产评估机构党群建设三项指标得分</w:t>
            </w:r>
          </w:p>
        </w:tc>
      </w:tr>
      <w:tr w14:paraId="058CCEC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35" w:type="dxa"/>
            <w:vMerge w:val="continue"/>
          </w:tcPr>
          <w:p w14:paraId="635DA223">
            <w:pPr>
              <w:widowControl/>
              <w:adjustRightInd w:val="0"/>
              <w:snapToGrid w:val="0"/>
              <w:spacing w:line="600" w:lineRule="exact"/>
              <w:rPr>
                <w:rFonts w:ascii="仿宋" w:hAnsi="仿宋" w:eastAsia="仿宋" w:cs="仿宋"/>
                <w:b/>
                <w:sz w:val="28"/>
                <w:szCs w:val="28"/>
              </w:rPr>
            </w:pPr>
          </w:p>
        </w:tc>
        <w:tc>
          <w:tcPr>
            <w:tcW w:w="5811" w:type="dxa"/>
            <w:vAlign w:val="center"/>
          </w:tcPr>
          <w:p w14:paraId="7373EF7D">
            <w:pPr>
              <w:widowControl/>
              <w:adjustRightInd w:val="0"/>
              <w:snapToGrid w:val="0"/>
              <w:spacing w:line="600" w:lineRule="exact"/>
              <w:rPr>
                <w:rFonts w:ascii="仿宋" w:hAnsi="仿宋" w:eastAsia="仿宋" w:cs="宋体"/>
                <w:color w:val="000000"/>
                <w:w w:val="80"/>
                <w:kern w:val="0"/>
                <w:sz w:val="28"/>
                <w:szCs w:val="28"/>
                <w:shd w:val="clear" w:color="auto" w:fill="FFFFFF"/>
              </w:rPr>
            </w:pPr>
            <w:r>
              <w:rPr>
                <w:rFonts w:hint="eastAsia" w:ascii="仿宋" w:hAnsi="仿宋" w:eastAsia="仿宋" w:cs="宋体"/>
                <w:color w:val="000000"/>
                <w:w w:val="80"/>
                <w:kern w:val="0"/>
                <w:sz w:val="28"/>
                <w:szCs w:val="28"/>
                <w:shd w:val="clear" w:color="auto" w:fill="FFFFFF"/>
              </w:rPr>
              <w:t>max（参评资产评估机构符合党群组织建设三项指标得分）</w:t>
            </w:r>
          </w:p>
        </w:tc>
      </w:tr>
    </w:tbl>
    <w:p w14:paraId="270C0F60">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（五）执业质量。指评价年度资产评估机构及其评估专业人员受到刑事处罚、行政处罚和行业惩戒的情况。</w:t>
      </w:r>
    </w:p>
    <w:tbl>
      <w:tblPr>
        <w:tblStyle w:val="3"/>
        <w:tblpPr w:leftFromText="180" w:rightFromText="180" w:vertAnchor="text" w:horzAnchor="page" w:tblpX="2263" w:tblpY="350"/>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235"/>
        <w:gridCol w:w="5386"/>
      </w:tblGrid>
      <w:tr w14:paraId="71C2A680">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35" w:type="dxa"/>
            <w:vMerge w:val="restart"/>
            <w:vAlign w:val="center"/>
          </w:tcPr>
          <w:p w14:paraId="658ECCF5">
            <w:pPr>
              <w:widowControl/>
              <w:adjustRightInd w:val="0"/>
              <w:snapToGrid w:val="0"/>
              <w:spacing w:line="600" w:lineRule="exact"/>
              <w:rPr>
                <w:rFonts w:ascii="仿宋" w:hAnsi="仿宋" w:eastAsia="仿宋" w:cs="仿宋"/>
                <w:b/>
                <w:sz w:val="28"/>
                <w:szCs w:val="28"/>
              </w:rPr>
            </w:pPr>
            <w:r>
              <w:rPr>
                <w:rFonts w:hint="eastAsia" w:ascii="仿宋" w:hAnsi="仿宋" w:eastAsia="仿宋" w:cs="仿宋"/>
                <w:sz w:val="28"/>
                <w:szCs w:val="28"/>
              </w:rPr>
              <w:t>指标得分=100×</w:t>
            </w:r>
          </w:p>
        </w:tc>
        <w:tc>
          <w:tcPr>
            <w:tcW w:w="5386" w:type="dxa"/>
            <w:vAlign w:val="center"/>
          </w:tcPr>
          <w:p w14:paraId="4B41F0F4">
            <w:pPr>
              <w:widowControl/>
              <w:adjustRightInd w:val="0"/>
              <w:snapToGrid w:val="0"/>
              <w:spacing w:line="600" w:lineRule="exact"/>
              <w:rPr>
                <w:rFonts w:ascii="仿宋" w:hAnsi="仿宋" w:eastAsia="仿宋" w:cs="仿宋"/>
                <w:sz w:val="28"/>
                <w:szCs w:val="28"/>
              </w:rPr>
            </w:pPr>
            <w:r>
              <w:rPr>
                <w:rFonts w:hint="eastAsia" w:ascii="仿宋" w:hAnsi="仿宋" w:eastAsia="仿宋" w:cs="仿宋"/>
                <w:sz w:val="28"/>
                <w:szCs w:val="28"/>
              </w:rPr>
              <w:t>100-本年度受处罚惩戒的相关分值</w:t>
            </w:r>
          </w:p>
        </w:tc>
      </w:tr>
      <w:tr w14:paraId="236CAE7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35" w:type="dxa"/>
            <w:vMerge w:val="continue"/>
          </w:tcPr>
          <w:p w14:paraId="6BCBE6A2">
            <w:pPr>
              <w:widowControl/>
              <w:adjustRightInd w:val="0"/>
              <w:snapToGrid w:val="0"/>
              <w:spacing w:line="600" w:lineRule="exact"/>
              <w:rPr>
                <w:rFonts w:ascii="仿宋" w:hAnsi="仿宋" w:eastAsia="仿宋" w:cs="仿宋"/>
                <w:b/>
                <w:sz w:val="28"/>
                <w:szCs w:val="28"/>
              </w:rPr>
            </w:pPr>
          </w:p>
        </w:tc>
        <w:tc>
          <w:tcPr>
            <w:tcW w:w="5386" w:type="dxa"/>
            <w:vAlign w:val="center"/>
          </w:tcPr>
          <w:p w14:paraId="51AFAE1A">
            <w:pPr>
              <w:widowControl/>
              <w:adjustRightInd w:val="0"/>
              <w:snapToGrid w:val="0"/>
              <w:spacing w:line="600" w:lineRule="exact"/>
              <w:rPr>
                <w:rFonts w:ascii="仿宋" w:hAnsi="仿宋" w:eastAsia="仿宋" w:cs="仿宋"/>
                <w:sz w:val="28"/>
                <w:szCs w:val="28"/>
              </w:rPr>
            </w:pPr>
            <w:r>
              <w:rPr>
                <w:rFonts w:hint="eastAsia" w:ascii="仿宋" w:hAnsi="仿宋" w:eastAsia="仿宋" w:cs="宋体"/>
                <w:color w:val="000000"/>
                <w:kern w:val="0"/>
                <w:sz w:val="28"/>
                <w:szCs w:val="28"/>
                <w:shd w:val="clear" w:color="auto" w:fill="FFFFFF"/>
              </w:rPr>
              <w:t>max(参评资产评估机构执业质量得分)</w:t>
            </w:r>
          </w:p>
        </w:tc>
      </w:tr>
    </w:tbl>
    <w:p w14:paraId="33E9FF73">
      <w:pPr>
        <w:widowControl/>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（六）社会及行业贡献。包括资产评估机构从业人员担任社会和行业协会职务、参与执业质量检查或专项核查工作、行业人才培养工作等其他相关工作的情况。</w:t>
      </w:r>
    </w:p>
    <w:tbl>
      <w:tblPr>
        <w:tblStyle w:val="3"/>
        <w:tblpPr w:leftFromText="180" w:rightFromText="180" w:vertAnchor="text" w:horzAnchor="page" w:tblpX="1911" w:tblpY="350"/>
        <w:tblW w:w="8755"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235"/>
        <w:gridCol w:w="6520"/>
      </w:tblGrid>
      <w:tr w14:paraId="7E03589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PrEx>
        <w:trPr>
          <w:trHeight w:val="57" w:hRule="atLeast"/>
        </w:trPr>
        <w:tc>
          <w:tcPr>
            <w:tcW w:w="2235" w:type="dxa"/>
            <w:vMerge w:val="restart"/>
            <w:vAlign w:val="center"/>
          </w:tcPr>
          <w:p w14:paraId="3D7D6874">
            <w:pPr>
              <w:widowControl/>
              <w:adjustRightInd w:val="0"/>
              <w:snapToGrid w:val="0"/>
              <w:spacing w:line="600" w:lineRule="exact"/>
              <w:rPr>
                <w:rFonts w:ascii="仿宋" w:hAnsi="仿宋" w:eastAsia="仿宋" w:cs="仿宋"/>
                <w:b/>
                <w:sz w:val="28"/>
                <w:szCs w:val="28"/>
              </w:rPr>
            </w:pPr>
            <w:r>
              <w:rPr>
                <w:rFonts w:hint="eastAsia" w:ascii="仿宋" w:hAnsi="仿宋" w:eastAsia="仿宋" w:cs="仿宋"/>
                <w:sz w:val="28"/>
                <w:szCs w:val="28"/>
              </w:rPr>
              <w:t>指标得分=100×</w:t>
            </w:r>
          </w:p>
        </w:tc>
        <w:tc>
          <w:tcPr>
            <w:tcW w:w="6520" w:type="dxa"/>
            <w:vAlign w:val="center"/>
          </w:tcPr>
          <w:p w14:paraId="5AEB4AFB">
            <w:pPr>
              <w:widowControl/>
              <w:adjustRightInd w:val="0"/>
              <w:snapToGrid w:val="0"/>
              <w:spacing w:line="600" w:lineRule="exact"/>
              <w:rPr>
                <w:rFonts w:ascii="仿宋" w:hAnsi="仿宋" w:eastAsia="仿宋" w:cs="仿宋"/>
                <w:sz w:val="28"/>
                <w:szCs w:val="28"/>
              </w:rPr>
            </w:pPr>
            <w:r>
              <w:rPr>
                <w:rFonts w:hint="eastAsia" w:ascii="仿宋" w:hAnsi="仿宋" w:eastAsia="仿宋" w:cs="仿宋"/>
                <w:sz w:val="28"/>
                <w:szCs w:val="28"/>
              </w:rPr>
              <w:t>资产评估机构行业贡献四项指标得分</w:t>
            </w:r>
          </w:p>
        </w:tc>
      </w:tr>
      <w:tr w14:paraId="14708664">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57" w:hRule="atLeast"/>
        </w:trPr>
        <w:tc>
          <w:tcPr>
            <w:tcW w:w="2235" w:type="dxa"/>
            <w:vMerge w:val="continue"/>
          </w:tcPr>
          <w:p w14:paraId="53AA744A">
            <w:pPr>
              <w:widowControl/>
              <w:adjustRightInd w:val="0"/>
              <w:snapToGrid w:val="0"/>
              <w:spacing w:line="600" w:lineRule="exact"/>
              <w:rPr>
                <w:rFonts w:ascii="仿宋" w:hAnsi="仿宋" w:eastAsia="仿宋" w:cs="仿宋"/>
                <w:b/>
                <w:sz w:val="28"/>
                <w:szCs w:val="28"/>
              </w:rPr>
            </w:pPr>
          </w:p>
        </w:tc>
        <w:tc>
          <w:tcPr>
            <w:tcW w:w="6520" w:type="dxa"/>
            <w:vAlign w:val="center"/>
          </w:tcPr>
          <w:p w14:paraId="71312EB4">
            <w:pPr>
              <w:tabs>
                <w:tab w:val="left" w:pos="601"/>
              </w:tabs>
              <w:adjustRightInd w:val="0"/>
              <w:snapToGrid w:val="0"/>
              <w:spacing w:line="600" w:lineRule="exact"/>
              <w:rPr>
                <w:rFonts w:ascii="仿宋" w:hAnsi="仿宋" w:eastAsia="仿宋" w:cs="宋体"/>
                <w:color w:val="000000"/>
                <w:kern w:val="0"/>
                <w:sz w:val="28"/>
                <w:szCs w:val="28"/>
                <w:shd w:val="clear" w:color="auto" w:fill="FFFFFF"/>
              </w:rPr>
            </w:pPr>
            <w:r>
              <w:rPr>
                <w:rFonts w:hint="eastAsia" w:ascii="仿宋" w:hAnsi="仿宋" w:eastAsia="仿宋" w:cs="宋体"/>
                <w:color w:val="000000"/>
                <w:kern w:val="0"/>
                <w:sz w:val="28"/>
                <w:szCs w:val="28"/>
                <w:shd w:val="clear" w:color="auto" w:fill="FFFFFF"/>
              </w:rPr>
              <w:t>max（参评资产评估机构符合行业贡献四项指标得分）</w:t>
            </w:r>
          </w:p>
        </w:tc>
      </w:tr>
    </w:tbl>
    <w:p w14:paraId="320890F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cs="仿宋_GB2312"/>
          <w:b/>
          <w:color w:val="000000"/>
          <w:sz w:val="32"/>
          <w:szCs w:val="32"/>
          <w:shd w:val="clear" w:color="auto" w:fill="FFFFFF"/>
        </w:rPr>
        <w:t xml:space="preserve">第九条  </w:t>
      </w:r>
      <w:r>
        <w:rPr>
          <w:rFonts w:hint="eastAsia" w:ascii="仿宋" w:hAnsi="仿宋" w:eastAsia="仿宋"/>
          <w:sz w:val="32"/>
          <w:szCs w:val="32"/>
        </w:rPr>
        <w:t>资产评估行业管理统一信息平台（以下简称统一平台）记录的资产评估机构及其资产评估师上一会计年度的不良行为信息，包括财政部门、证监会等部门作出的行政处罚，资产评估协会作出的自律惩戒等内容，作为披露信息。</w:t>
      </w:r>
    </w:p>
    <w:p w14:paraId="62E0E61A">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b/>
          <w:color w:val="000000"/>
          <w:sz w:val="32"/>
          <w:szCs w:val="32"/>
          <w:shd w:val="clear" w:color="auto" w:fill="FFFFFF"/>
        </w:rPr>
        <w:t>第十条</w:t>
      </w:r>
      <w:r>
        <w:rPr>
          <w:rFonts w:hint="eastAsia" w:ascii="宋体" w:hAnsi="宋体" w:cs="宋体"/>
          <w:color w:val="000000"/>
          <w:sz w:val="32"/>
          <w:szCs w:val="32"/>
          <w:shd w:val="clear" w:color="auto" w:fill="FFFFFF"/>
        </w:rPr>
        <w:t> </w:t>
      </w:r>
      <w:r>
        <w:rPr>
          <w:rFonts w:hint="eastAsia" w:ascii="仿宋" w:hAnsi="仿宋" w:eastAsia="仿宋" w:cs="仿宋_GB2312"/>
          <w:color w:val="000000"/>
          <w:sz w:val="32"/>
          <w:szCs w:val="32"/>
          <w:shd w:val="clear" w:color="auto" w:fill="FFFFFF"/>
        </w:rPr>
        <w:t>资产评估机构综合评价得分为各单项评价指标得分与其权重之积相加的总和。指标权重范围见附表。</w:t>
      </w:r>
    </w:p>
    <w:p w14:paraId="2DC09CD6">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b/>
          <w:color w:val="000000"/>
          <w:sz w:val="32"/>
          <w:szCs w:val="32"/>
          <w:shd w:val="clear" w:color="auto" w:fill="FFFFFF"/>
        </w:rPr>
        <w:t>第十一条</w:t>
      </w:r>
      <w:r>
        <w:rPr>
          <w:rFonts w:hint="eastAsia" w:ascii="仿宋" w:hAnsi="仿宋" w:eastAsia="仿宋" w:cs="仿宋_GB2312"/>
          <w:color w:val="000000"/>
          <w:sz w:val="32"/>
          <w:szCs w:val="32"/>
          <w:shd w:val="clear" w:color="auto" w:fill="FFFFFF"/>
        </w:rPr>
        <w:t xml:space="preserve">  综合评价得分的计算公式如下：</w:t>
      </w:r>
    </w:p>
    <w:p w14:paraId="4F9A8A8A">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color w:val="000000"/>
          <w:sz w:val="32"/>
          <w:szCs w:val="32"/>
          <w:shd w:val="clear" w:color="auto" w:fill="FFFFFF"/>
        </w:rPr>
        <w:t>综合评价得分=营业收入指标得分×W1+资产评估业务收入指标得分×W2 +资产评估师数量指标得分×W3+党群建设指标得分×W4+执业质量指标得分×W5+社会及行业贡献指标得分×W6（其中，W1，W2……W6为对应指标的权重系数，合计为100）。</w:t>
      </w:r>
    </w:p>
    <w:p w14:paraId="03CEB41D">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b/>
          <w:color w:val="000000"/>
          <w:sz w:val="32"/>
          <w:szCs w:val="32"/>
          <w:shd w:val="clear" w:color="auto" w:fill="FFFFFF"/>
        </w:rPr>
        <w:t>第十二条</w:t>
      </w:r>
      <w:r>
        <w:rPr>
          <w:rFonts w:hint="eastAsia" w:ascii="仿宋" w:hAnsi="仿宋" w:eastAsia="仿宋" w:cs="仿宋_GB2312"/>
          <w:color w:val="000000"/>
          <w:sz w:val="32"/>
          <w:szCs w:val="32"/>
          <w:shd w:val="clear" w:color="auto" w:fill="FFFFFF"/>
        </w:rPr>
        <w:t xml:space="preserve">  省评协根据各资产评估机构综合评价得分，将参评机构前一百名相关信息予以公布。</w:t>
      </w:r>
    </w:p>
    <w:p w14:paraId="6396CE6C">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b/>
          <w:color w:val="000000"/>
          <w:sz w:val="32"/>
          <w:szCs w:val="32"/>
          <w:shd w:val="clear" w:color="auto" w:fill="FFFFFF"/>
        </w:rPr>
        <w:t xml:space="preserve">第十三条 </w:t>
      </w:r>
      <w:r>
        <w:rPr>
          <w:rFonts w:hint="eastAsia" w:ascii="仿宋" w:hAnsi="仿宋" w:eastAsia="仿宋" w:cs="仿宋_GB2312"/>
          <w:color w:val="000000"/>
          <w:sz w:val="32"/>
          <w:szCs w:val="32"/>
          <w:shd w:val="clear" w:color="auto" w:fill="FFFFFF"/>
        </w:rPr>
        <w:t xml:space="preserve"> 综合评价按下列程序进行：</w:t>
      </w:r>
    </w:p>
    <w:p w14:paraId="41BDA07F">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color w:val="000000"/>
          <w:sz w:val="32"/>
          <w:szCs w:val="32"/>
          <w:shd w:val="clear" w:color="auto" w:fill="FFFFFF"/>
        </w:rPr>
        <w:t>资产评估机构按照省评协规定，上报有关信息。</w:t>
      </w:r>
    </w:p>
    <w:p w14:paraId="46327721">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color w:val="000000"/>
          <w:sz w:val="32"/>
          <w:szCs w:val="32"/>
          <w:shd w:val="clear" w:color="auto" w:fill="FFFFFF"/>
        </w:rPr>
        <w:t>（一）省评协对评价的结果进行公示，公示期为10个工作日。在公示期内，参评资产评估机构及相关方面可以向省评协反映有关情况。</w:t>
      </w:r>
    </w:p>
    <w:p w14:paraId="6A6EBEE1">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color w:val="000000"/>
          <w:sz w:val="32"/>
          <w:szCs w:val="32"/>
          <w:shd w:val="clear" w:color="auto" w:fill="FFFFFF"/>
        </w:rPr>
        <w:t>（二）资产评估机构综合评价正式结果在《山西会计与资产评估》期刊、省评协网站和公众号上公布。</w:t>
      </w:r>
    </w:p>
    <w:p w14:paraId="143DEC58">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b/>
          <w:color w:val="000000"/>
          <w:sz w:val="32"/>
          <w:szCs w:val="32"/>
          <w:shd w:val="clear" w:color="auto" w:fill="FFFFFF"/>
        </w:rPr>
        <w:t>第十四条</w:t>
      </w:r>
      <w:r>
        <w:rPr>
          <w:rFonts w:hint="eastAsia" w:ascii="仿宋" w:hAnsi="仿宋" w:eastAsia="仿宋" w:cs="仿宋_GB2312"/>
          <w:color w:val="000000"/>
          <w:sz w:val="32"/>
          <w:szCs w:val="32"/>
          <w:shd w:val="clear" w:color="auto" w:fill="FFFFFF"/>
        </w:rPr>
        <w:t xml:space="preserve"> 省评协对填报不实信息的资产评估机构，一经查实，取消当年参评资格，并记入诚信档案。</w:t>
      </w:r>
    </w:p>
    <w:p w14:paraId="586982B7">
      <w:pPr>
        <w:tabs>
          <w:tab w:val="left" w:pos="601"/>
        </w:tabs>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b/>
          <w:color w:val="000000"/>
          <w:sz w:val="32"/>
          <w:szCs w:val="32"/>
          <w:shd w:val="clear" w:color="auto" w:fill="FFFFFF"/>
        </w:rPr>
        <w:t>第十五条</w:t>
      </w:r>
      <w:r>
        <w:rPr>
          <w:rFonts w:hint="eastAsia" w:ascii="仿宋" w:hAnsi="仿宋" w:eastAsia="仿宋" w:cs="仿宋_GB2312"/>
          <w:color w:val="000000"/>
          <w:sz w:val="32"/>
          <w:szCs w:val="32"/>
          <w:shd w:val="clear" w:color="auto" w:fill="FFFFFF"/>
        </w:rPr>
        <w:t xml:space="preserve"> 本办法自发布之日起施行。</w:t>
      </w:r>
      <w:r>
        <w:fldChar w:fldCharType="begin"/>
      </w:r>
      <w:r>
        <w:instrText xml:space="preserve"> HYPERLINK "http://www.cas.org.cn/xhxxfb/xhwj/17578.htm" </w:instrText>
      </w:r>
      <w:r>
        <w:fldChar w:fldCharType="separate"/>
      </w:r>
      <w:r>
        <w:rPr>
          <w:rFonts w:hint="eastAsia" w:ascii="仿宋" w:hAnsi="仿宋" w:eastAsia="仿宋" w:cs="仿宋_GB2312"/>
          <w:color w:val="000000"/>
          <w:sz w:val="32"/>
          <w:szCs w:val="32"/>
          <w:shd w:val="clear" w:color="auto" w:fill="FFFFFF"/>
        </w:rPr>
        <w:t>《山西省资产评估机构综合评价办法》（晋注评协</w:t>
      </w:r>
      <w:r>
        <w:rPr>
          <w:rFonts w:hint="eastAsia" w:ascii="仿宋" w:hAnsi="仿宋" w:eastAsia="仿宋" w:cs="宋体"/>
          <w:kern w:val="0"/>
          <w:sz w:val="32"/>
          <w:szCs w:val="32"/>
        </w:rPr>
        <w:t>〔2016〕</w:t>
      </w:r>
      <w:r>
        <w:rPr>
          <w:rFonts w:hint="eastAsia" w:ascii="仿宋" w:hAnsi="仿宋" w:eastAsia="仿宋" w:cs="仿宋_GB2312"/>
          <w:color w:val="000000"/>
          <w:sz w:val="32"/>
          <w:szCs w:val="32"/>
          <w:shd w:val="clear" w:color="auto" w:fill="FFFFFF"/>
        </w:rPr>
        <w:t>49号）</w:t>
      </w:r>
      <w:r>
        <w:rPr>
          <w:rFonts w:hint="eastAsia" w:ascii="仿宋" w:hAnsi="仿宋" w:eastAsia="仿宋" w:cs="仿宋_GB2312"/>
          <w:color w:val="000000"/>
          <w:sz w:val="32"/>
          <w:szCs w:val="32"/>
          <w:shd w:val="clear" w:color="auto" w:fill="FFFFFF"/>
        </w:rPr>
        <w:fldChar w:fldCharType="end"/>
      </w:r>
      <w:r>
        <w:rPr>
          <w:rFonts w:hint="eastAsia" w:ascii="仿宋" w:hAnsi="仿宋" w:eastAsia="仿宋" w:cs="仿宋_GB2312"/>
          <w:color w:val="000000"/>
          <w:sz w:val="32"/>
          <w:szCs w:val="32"/>
          <w:shd w:val="clear" w:color="auto" w:fill="FFFFFF"/>
        </w:rPr>
        <w:t>同时废止。</w:t>
      </w:r>
    </w:p>
    <w:p w14:paraId="37138CC1">
      <w:pPr>
        <w:adjustRightInd w:val="0"/>
        <w:snapToGrid w:val="0"/>
        <w:spacing w:line="560" w:lineRule="exact"/>
        <w:ind w:firstLine="200"/>
      </w:pPr>
    </w:p>
    <w:p w14:paraId="654FF623">
      <w:pPr>
        <w:adjustRightInd w:val="0"/>
        <w:snapToGrid w:val="0"/>
        <w:spacing w:line="560" w:lineRule="exact"/>
        <w:ind w:firstLine="640" w:firstLineChars="200"/>
        <w:rPr>
          <w:rFonts w:ascii="仿宋" w:hAnsi="仿宋" w:eastAsia="仿宋" w:cs="仿宋_GB2312"/>
          <w:color w:val="000000"/>
          <w:sz w:val="32"/>
          <w:szCs w:val="32"/>
          <w:shd w:val="clear" w:color="auto" w:fill="FFFFFF"/>
        </w:rPr>
      </w:pPr>
      <w:r>
        <w:rPr>
          <w:rFonts w:hint="eastAsia" w:ascii="仿宋" w:hAnsi="仿宋" w:eastAsia="仿宋" w:cs="仿宋_GB2312"/>
          <w:color w:val="000000"/>
          <w:sz w:val="32"/>
          <w:szCs w:val="32"/>
          <w:shd w:val="clear" w:color="auto" w:fill="FFFFFF"/>
        </w:rPr>
        <w:t>附表：山西省资产评估机构综合评价指标体系</w:t>
      </w:r>
    </w:p>
    <w:p w14:paraId="3D3F8627">
      <w:pPr>
        <w:adjustRightInd w:val="0"/>
        <w:snapToGrid w:val="0"/>
        <w:spacing w:line="560" w:lineRule="exact"/>
        <w:ind w:firstLine="200"/>
      </w:pPr>
    </w:p>
    <w:p w14:paraId="66FFD83A">
      <w:pPr>
        <w:spacing w:line="360" w:lineRule="auto"/>
        <w:ind w:firstLine="640" w:firstLineChars="200"/>
        <w:rPr>
          <w:rFonts w:ascii="黑体" w:hAnsi="黑体" w:eastAsia="黑体" w:cs="黑体"/>
          <w:sz w:val="32"/>
          <w:szCs w:val="32"/>
        </w:rPr>
      </w:pPr>
    </w:p>
    <w:p w14:paraId="4E325E18">
      <w:pPr>
        <w:spacing w:line="360" w:lineRule="auto"/>
        <w:ind w:firstLine="640" w:firstLineChars="200"/>
        <w:rPr>
          <w:rFonts w:ascii="黑体" w:hAnsi="黑体" w:eastAsia="黑体" w:cs="黑体"/>
          <w:sz w:val="32"/>
          <w:szCs w:val="32"/>
        </w:rPr>
      </w:pPr>
    </w:p>
    <w:p w14:paraId="54EEEBAD">
      <w:pPr>
        <w:spacing w:line="360" w:lineRule="auto"/>
        <w:ind w:firstLine="640" w:firstLineChars="200"/>
        <w:rPr>
          <w:rFonts w:ascii="黑体" w:hAnsi="黑体" w:eastAsia="黑体" w:cs="黑体"/>
          <w:sz w:val="32"/>
          <w:szCs w:val="32"/>
        </w:rPr>
      </w:pPr>
    </w:p>
    <w:p w14:paraId="5ABDFAAB">
      <w:pPr>
        <w:spacing w:line="360" w:lineRule="auto"/>
        <w:ind w:firstLine="640" w:firstLineChars="200"/>
        <w:rPr>
          <w:rFonts w:ascii="黑体" w:hAnsi="黑体" w:eastAsia="黑体" w:cs="黑体"/>
          <w:sz w:val="32"/>
          <w:szCs w:val="32"/>
        </w:rPr>
      </w:pPr>
    </w:p>
    <w:p w14:paraId="5FBA46ED">
      <w:pPr>
        <w:spacing w:line="360" w:lineRule="auto"/>
        <w:ind w:firstLine="640" w:firstLineChars="200"/>
        <w:rPr>
          <w:rFonts w:ascii="黑体" w:hAnsi="黑体" w:eastAsia="黑体" w:cs="黑体"/>
          <w:sz w:val="32"/>
          <w:szCs w:val="32"/>
        </w:rPr>
      </w:pPr>
    </w:p>
    <w:p w14:paraId="2FB015E6">
      <w:pPr>
        <w:spacing w:line="360" w:lineRule="auto"/>
        <w:ind w:firstLine="640" w:firstLineChars="200"/>
        <w:rPr>
          <w:rFonts w:ascii="黑体" w:hAnsi="黑体" w:eastAsia="黑体" w:cs="黑体"/>
          <w:sz w:val="32"/>
          <w:szCs w:val="32"/>
        </w:rPr>
      </w:pPr>
    </w:p>
    <w:p w14:paraId="1DEA8A81">
      <w:pPr>
        <w:spacing w:line="360" w:lineRule="auto"/>
        <w:ind w:firstLine="640" w:firstLineChars="200"/>
        <w:rPr>
          <w:rFonts w:ascii="黑体" w:hAnsi="黑体" w:eastAsia="黑体" w:cs="黑体"/>
          <w:sz w:val="32"/>
          <w:szCs w:val="32"/>
        </w:rPr>
      </w:pPr>
    </w:p>
    <w:p w14:paraId="2E08F9C8">
      <w:pPr>
        <w:spacing w:line="360" w:lineRule="auto"/>
        <w:rPr>
          <w:rFonts w:ascii="黑体" w:hAnsi="黑体" w:eastAsia="黑体" w:cs="黑体"/>
          <w:sz w:val="32"/>
          <w:szCs w:val="32"/>
        </w:rPr>
      </w:pPr>
    </w:p>
    <w:p w14:paraId="53FEEA64">
      <w:pPr>
        <w:spacing w:line="360" w:lineRule="auto"/>
        <w:rPr>
          <w:rFonts w:ascii="黑体" w:hAnsi="黑体" w:eastAsia="黑体" w:cs="黑体"/>
          <w:sz w:val="32"/>
          <w:szCs w:val="32"/>
        </w:rPr>
        <w:sectPr>
          <w:footerReference r:id="rId3" w:type="default"/>
          <w:pgSz w:w="11906" w:h="16838"/>
          <w:pgMar w:top="1440" w:right="1800" w:bottom="1440" w:left="1800" w:header="851" w:footer="1418" w:gutter="0"/>
          <w:cols w:space="720" w:num="1"/>
          <w:docGrid w:type="linesAndChars" w:linePitch="312" w:charSpace="0"/>
        </w:sectPr>
      </w:pPr>
    </w:p>
    <w:p w14:paraId="37A8EFCB">
      <w:pPr>
        <w:spacing w:line="360" w:lineRule="auto"/>
        <w:rPr>
          <w:rFonts w:ascii="黑体" w:hAnsi="黑体" w:eastAsia="黑体" w:cs="黑体"/>
          <w:sz w:val="32"/>
          <w:szCs w:val="32"/>
        </w:rPr>
      </w:pPr>
      <w:r>
        <w:rPr>
          <w:rFonts w:hint="eastAsia" w:ascii="黑体" w:hAnsi="黑体" w:eastAsia="黑体" w:cs="黑体"/>
          <w:sz w:val="32"/>
          <w:szCs w:val="32"/>
        </w:rPr>
        <w:t>附表：山西省资产评估机构综合评价指标体系</w:t>
      </w:r>
    </w:p>
    <w:tbl>
      <w:tblPr>
        <w:tblStyle w:val="3"/>
        <w:tblW w:w="5000" w:type="pct"/>
        <w:tblInd w:w="0" w:type="dxa"/>
        <w:tblLayout w:type="fixed"/>
        <w:tblCellMar>
          <w:top w:w="0" w:type="dxa"/>
          <w:left w:w="108" w:type="dxa"/>
          <w:bottom w:w="0" w:type="dxa"/>
          <w:right w:w="108" w:type="dxa"/>
        </w:tblCellMar>
      </w:tblPr>
      <w:tblGrid>
        <w:gridCol w:w="570"/>
        <w:gridCol w:w="1267"/>
        <w:gridCol w:w="539"/>
        <w:gridCol w:w="1417"/>
        <w:gridCol w:w="567"/>
        <w:gridCol w:w="9814"/>
      </w:tblGrid>
      <w:tr w14:paraId="50CA2EBE">
        <w:tblPrEx>
          <w:tblCellMar>
            <w:top w:w="0" w:type="dxa"/>
            <w:left w:w="108" w:type="dxa"/>
            <w:bottom w:w="0" w:type="dxa"/>
            <w:right w:w="108" w:type="dxa"/>
          </w:tblCellMar>
        </w:tblPrEx>
        <w:trPr>
          <w:trHeight w:val="205" w:hRule="atLeast"/>
        </w:trPr>
        <w:tc>
          <w:tcPr>
            <w:tcW w:w="201" w:type="pct"/>
            <w:tcBorders>
              <w:top w:val="single" w:color="auto" w:sz="8" w:space="0"/>
              <w:left w:val="single" w:color="auto" w:sz="8" w:space="0"/>
              <w:bottom w:val="single" w:color="auto" w:sz="4" w:space="0"/>
              <w:right w:val="single" w:color="auto" w:sz="4" w:space="0"/>
            </w:tcBorders>
            <w:shd w:val="clear" w:color="auto" w:fill="auto"/>
            <w:noWrap/>
            <w:vAlign w:val="center"/>
          </w:tcPr>
          <w:p w14:paraId="41D9EF7D">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序号</w:t>
            </w:r>
          </w:p>
        </w:tc>
        <w:tc>
          <w:tcPr>
            <w:tcW w:w="447" w:type="pct"/>
            <w:tcBorders>
              <w:top w:val="single" w:color="auto" w:sz="8" w:space="0"/>
              <w:left w:val="nil"/>
              <w:bottom w:val="single" w:color="auto" w:sz="4" w:space="0"/>
              <w:right w:val="single" w:color="auto" w:sz="4" w:space="0"/>
            </w:tcBorders>
            <w:shd w:val="clear" w:color="auto" w:fill="auto"/>
            <w:noWrap/>
            <w:vAlign w:val="center"/>
          </w:tcPr>
          <w:p w14:paraId="6DE1535E">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一级评价指标</w:t>
            </w:r>
          </w:p>
        </w:tc>
        <w:tc>
          <w:tcPr>
            <w:tcW w:w="190" w:type="pct"/>
            <w:tcBorders>
              <w:top w:val="single" w:color="auto" w:sz="8" w:space="0"/>
              <w:left w:val="nil"/>
              <w:bottom w:val="single" w:color="auto" w:sz="4" w:space="0"/>
              <w:right w:val="single" w:color="auto" w:sz="4" w:space="0"/>
            </w:tcBorders>
            <w:shd w:val="clear" w:color="auto" w:fill="auto"/>
            <w:noWrap/>
            <w:vAlign w:val="center"/>
          </w:tcPr>
          <w:p w14:paraId="45267A8F">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权重</w:t>
            </w:r>
          </w:p>
        </w:tc>
        <w:tc>
          <w:tcPr>
            <w:tcW w:w="500" w:type="pct"/>
            <w:tcBorders>
              <w:top w:val="single" w:color="auto" w:sz="8" w:space="0"/>
              <w:left w:val="nil"/>
              <w:bottom w:val="single" w:color="auto" w:sz="4" w:space="0"/>
              <w:right w:val="single" w:color="auto" w:sz="4" w:space="0"/>
            </w:tcBorders>
            <w:shd w:val="clear" w:color="auto" w:fill="auto"/>
            <w:noWrap/>
            <w:vAlign w:val="center"/>
          </w:tcPr>
          <w:p w14:paraId="5D4BAAA6">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二级评价指标</w:t>
            </w:r>
          </w:p>
        </w:tc>
        <w:tc>
          <w:tcPr>
            <w:tcW w:w="200" w:type="pct"/>
            <w:tcBorders>
              <w:top w:val="single" w:color="auto" w:sz="8" w:space="0"/>
              <w:left w:val="nil"/>
              <w:bottom w:val="single" w:color="auto" w:sz="4" w:space="0"/>
              <w:right w:val="single" w:color="auto" w:sz="4" w:space="0"/>
            </w:tcBorders>
            <w:shd w:val="clear" w:color="auto" w:fill="auto"/>
            <w:noWrap/>
            <w:vAlign w:val="center"/>
          </w:tcPr>
          <w:p w14:paraId="2DD505D5">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分值</w:t>
            </w:r>
          </w:p>
        </w:tc>
        <w:tc>
          <w:tcPr>
            <w:tcW w:w="3462" w:type="pct"/>
            <w:tcBorders>
              <w:top w:val="single" w:color="auto" w:sz="8" w:space="0"/>
              <w:left w:val="nil"/>
              <w:bottom w:val="single" w:color="auto" w:sz="4" w:space="0"/>
              <w:right w:val="single" w:color="auto" w:sz="8" w:space="0"/>
            </w:tcBorders>
            <w:shd w:val="clear" w:color="auto" w:fill="auto"/>
            <w:vAlign w:val="center"/>
          </w:tcPr>
          <w:p w14:paraId="3FB7285C">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指标解释</w:t>
            </w:r>
          </w:p>
        </w:tc>
      </w:tr>
      <w:tr w14:paraId="1701C7A2">
        <w:tblPrEx>
          <w:tblCellMar>
            <w:top w:w="0" w:type="dxa"/>
            <w:left w:w="108" w:type="dxa"/>
            <w:bottom w:w="0" w:type="dxa"/>
            <w:right w:w="108" w:type="dxa"/>
          </w:tblCellMar>
        </w:tblPrEx>
        <w:trPr>
          <w:trHeight w:val="163" w:hRule="atLeast"/>
        </w:trPr>
        <w:tc>
          <w:tcPr>
            <w:tcW w:w="201" w:type="pct"/>
            <w:vMerge w:val="restart"/>
            <w:tcBorders>
              <w:top w:val="nil"/>
              <w:left w:val="single" w:color="auto" w:sz="8" w:space="0"/>
              <w:bottom w:val="single" w:color="000000" w:sz="4" w:space="0"/>
              <w:right w:val="single" w:color="auto" w:sz="4" w:space="0"/>
            </w:tcBorders>
            <w:shd w:val="clear" w:color="auto" w:fill="auto"/>
            <w:noWrap/>
            <w:vAlign w:val="center"/>
          </w:tcPr>
          <w:p w14:paraId="36404BE8">
            <w:pPr>
              <w:widowControl/>
              <w:jc w:val="center"/>
              <w:rPr>
                <w:rFonts w:ascii="宋体" w:hAnsi="宋体" w:cs="宋体"/>
                <w:color w:val="000000"/>
                <w:kern w:val="0"/>
                <w:sz w:val="13"/>
                <w:szCs w:val="13"/>
              </w:rPr>
            </w:pPr>
            <w:r>
              <w:rPr>
                <w:rFonts w:hint="eastAsia" w:ascii="宋体" w:hAnsi="宋体" w:cs="宋体"/>
                <w:color w:val="000000"/>
                <w:kern w:val="0"/>
                <w:sz w:val="13"/>
                <w:szCs w:val="13"/>
              </w:rPr>
              <w:t>1</w:t>
            </w:r>
          </w:p>
        </w:tc>
        <w:tc>
          <w:tcPr>
            <w:tcW w:w="447" w:type="pct"/>
            <w:vMerge w:val="restart"/>
            <w:tcBorders>
              <w:top w:val="nil"/>
              <w:left w:val="single" w:color="auto" w:sz="4" w:space="0"/>
              <w:bottom w:val="single" w:color="auto" w:sz="4" w:space="0"/>
              <w:right w:val="single" w:color="auto" w:sz="4" w:space="0"/>
            </w:tcBorders>
            <w:shd w:val="clear" w:color="auto" w:fill="auto"/>
            <w:noWrap/>
            <w:vAlign w:val="center"/>
          </w:tcPr>
          <w:p w14:paraId="3B6AD336">
            <w:pPr>
              <w:widowControl/>
              <w:jc w:val="center"/>
              <w:rPr>
                <w:rFonts w:ascii="宋体" w:hAnsi="宋体" w:cs="宋体"/>
                <w:color w:val="000000"/>
                <w:kern w:val="0"/>
                <w:sz w:val="13"/>
                <w:szCs w:val="13"/>
              </w:rPr>
            </w:pPr>
            <w:r>
              <w:rPr>
                <w:rFonts w:hint="eastAsia" w:ascii="宋体" w:hAnsi="宋体" w:cs="宋体"/>
                <w:color w:val="000000"/>
                <w:kern w:val="0"/>
                <w:sz w:val="13"/>
                <w:szCs w:val="13"/>
              </w:rPr>
              <w:t>收入43%</w:t>
            </w:r>
          </w:p>
        </w:tc>
        <w:tc>
          <w:tcPr>
            <w:tcW w:w="190" w:type="pct"/>
            <w:tcBorders>
              <w:top w:val="nil"/>
              <w:left w:val="nil"/>
              <w:bottom w:val="single" w:color="auto" w:sz="4" w:space="0"/>
              <w:right w:val="single" w:color="auto" w:sz="4" w:space="0"/>
            </w:tcBorders>
            <w:shd w:val="clear" w:color="auto" w:fill="auto"/>
            <w:noWrap/>
            <w:vAlign w:val="center"/>
          </w:tcPr>
          <w:p w14:paraId="3FCE2BC2">
            <w:pPr>
              <w:widowControl/>
              <w:jc w:val="center"/>
              <w:rPr>
                <w:rFonts w:ascii="宋体" w:hAnsi="宋体" w:cs="宋体"/>
                <w:color w:val="000000"/>
                <w:kern w:val="0"/>
                <w:sz w:val="13"/>
                <w:szCs w:val="13"/>
              </w:rPr>
            </w:pPr>
            <w:r>
              <w:rPr>
                <w:rFonts w:hint="eastAsia" w:ascii="宋体" w:hAnsi="宋体" w:cs="宋体"/>
                <w:color w:val="000000"/>
                <w:kern w:val="0"/>
                <w:sz w:val="13"/>
                <w:szCs w:val="13"/>
              </w:rPr>
              <w:t>5%</w:t>
            </w:r>
          </w:p>
        </w:tc>
        <w:tc>
          <w:tcPr>
            <w:tcW w:w="500" w:type="pct"/>
            <w:tcBorders>
              <w:top w:val="nil"/>
              <w:left w:val="nil"/>
              <w:bottom w:val="single" w:color="auto" w:sz="4" w:space="0"/>
              <w:right w:val="single" w:color="auto" w:sz="4" w:space="0"/>
            </w:tcBorders>
            <w:shd w:val="clear" w:color="auto" w:fill="auto"/>
            <w:noWrap/>
            <w:vAlign w:val="center"/>
          </w:tcPr>
          <w:p w14:paraId="1C4BC612">
            <w:pPr>
              <w:widowControl/>
              <w:jc w:val="center"/>
              <w:rPr>
                <w:rFonts w:ascii="宋体" w:hAnsi="宋体" w:cs="宋体"/>
                <w:color w:val="000000"/>
                <w:kern w:val="0"/>
                <w:sz w:val="13"/>
                <w:szCs w:val="13"/>
              </w:rPr>
            </w:pPr>
            <w:r>
              <w:rPr>
                <w:rFonts w:hint="eastAsia" w:ascii="宋体" w:hAnsi="宋体" w:cs="宋体"/>
                <w:color w:val="000000"/>
                <w:kern w:val="0"/>
                <w:sz w:val="13"/>
                <w:szCs w:val="13"/>
              </w:rPr>
              <w:t>营业收入</w:t>
            </w:r>
          </w:p>
        </w:tc>
        <w:tc>
          <w:tcPr>
            <w:tcW w:w="200" w:type="pct"/>
            <w:tcBorders>
              <w:top w:val="nil"/>
              <w:left w:val="nil"/>
              <w:bottom w:val="single" w:color="auto" w:sz="4" w:space="0"/>
              <w:right w:val="single" w:color="auto" w:sz="4" w:space="0"/>
            </w:tcBorders>
            <w:shd w:val="clear" w:color="auto" w:fill="auto"/>
            <w:noWrap/>
            <w:vAlign w:val="center"/>
          </w:tcPr>
          <w:p w14:paraId="734BE115">
            <w:pPr>
              <w:widowControl/>
              <w:jc w:val="center"/>
              <w:rPr>
                <w:rFonts w:ascii="宋体" w:hAnsi="宋体" w:cs="宋体"/>
                <w:color w:val="000000"/>
                <w:kern w:val="0"/>
                <w:sz w:val="13"/>
                <w:szCs w:val="13"/>
              </w:rPr>
            </w:pPr>
            <w:r>
              <w:rPr>
                <w:rFonts w:hint="eastAsia" w:ascii="宋体" w:hAnsi="宋体" w:cs="宋体"/>
                <w:color w:val="000000"/>
                <w:kern w:val="0"/>
                <w:sz w:val="13"/>
                <w:szCs w:val="13"/>
              </w:rPr>
              <w:t>　</w:t>
            </w:r>
          </w:p>
        </w:tc>
        <w:tc>
          <w:tcPr>
            <w:tcW w:w="3462" w:type="pct"/>
            <w:tcBorders>
              <w:top w:val="nil"/>
              <w:left w:val="nil"/>
              <w:bottom w:val="single" w:color="auto" w:sz="4" w:space="0"/>
              <w:right w:val="single" w:color="auto" w:sz="8" w:space="0"/>
            </w:tcBorders>
            <w:shd w:val="clear" w:color="auto" w:fill="auto"/>
          </w:tcPr>
          <w:p w14:paraId="3E56A824">
            <w:pPr>
              <w:widowControl/>
              <w:jc w:val="left"/>
              <w:rPr>
                <w:rFonts w:ascii="宋体" w:hAnsi="宋体" w:cs="宋体"/>
                <w:color w:val="000000"/>
                <w:kern w:val="0"/>
                <w:sz w:val="13"/>
                <w:szCs w:val="13"/>
              </w:rPr>
            </w:pPr>
            <w:r>
              <w:rPr>
                <w:rFonts w:hint="eastAsia" w:ascii="宋体" w:hAnsi="宋体" w:cs="宋体"/>
                <w:color w:val="000000"/>
                <w:kern w:val="0"/>
                <w:sz w:val="13"/>
                <w:szCs w:val="13"/>
              </w:rPr>
              <w:t>指资产评估机构上一会计年度从事各项业务取得的收入总和。</w:t>
            </w:r>
          </w:p>
        </w:tc>
      </w:tr>
      <w:tr w14:paraId="37E1B1EC">
        <w:tblPrEx>
          <w:tblCellMar>
            <w:top w:w="0" w:type="dxa"/>
            <w:left w:w="108" w:type="dxa"/>
            <w:bottom w:w="0" w:type="dxa"/>
            <w:right w:w="108" w:type="dxa"/>
          </w:tblCellMar>
        </w:tblPrEx>
        <w:trPr>
          <w:trHeight w:val="555" w:hRule="atLeast"/>
        </w:trPr>
        <w:tc>
          <w:tcPr>
            <w:tcW w:w="201" w:type="pct"/>
            <w:vMerge w:val="continue"/>
            <w:tcBorders>
              <w:top w:val="nil"/>
              <w:left w:val="single" w:color="auto" w:sz="8" w:space="0"/>
              <w:bottom w:val="single" w:color="000000" w:sz="4" w:space="0"/>
              <w:right w:val="single" w:color="auto" w:sz="4" w:space="0"/>
            </w:tcBorders>
            <w:vAlign w:val="center"/>
          </w:tcPr>
          <w:p w14:paraId="547E8582">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auto" w:sz="4" w:space="0"/>
              <w:right w:val="single" w:color="auto" w:sz="4" w:space="0"/>
            </w:tcBorders>
            <w:vAlign w:val="center"/>
          </w:tcPr>
          <w:p w14:paraId="25BE82B2">
            <w:pPr>
              <w:widowControl/>
              <w:jc w:val="left"/>
              <w:rPr>
                <w:rFonts w:ascii="宋体" w:hAnsi="宋体" w:cs="宋体"/>
                <w:color w:val="000000"/>
                <w:kern w:val="0"/>
                <w:sz w:val="13"/>
                <w:szCs w:val="13"/>
              </w:rPr>
            </w:pPr>
          </w:p>
        </w:tc>
        <w:tc>
          <w:tcPr>
            <w:tcW w:w="190" w:type="pct"/>
            <w:tcBorders>
              <w:top w:val="nil"/>
              <w:left w:val="nil"/>
              <w:bottom w:val="single" w:color="auto" w:sz="4" w:space="0"/>
              <w:right w:val="single" w:color="auto" w:sz="4" w:space="0"/>
            </w:tcBorders>
            <w:shd w:val="clear" w:color="auto" w:fill="auto"/>
            <w:noWrap/>
            <w:vAlign w:val="center"/>
          </w:tcPr>
          <w:p w14:paraId="21E732FC">
            <w:pPr>
              <w:widowControl/>
              <w:jc w:val="center"/>
              <w:rPr>
                <w:rFonts w:ascii="宋体" w:hAnsi="宋体" w:cs="宋体"/>
                <w:color w:val="000000"/>
                <w:kern w:val="0"/>
                <w:sz w:val="13"/>
                <w:szCs w:val="13"/>
              </w:rPr>
            </w:pPr>
            <w:r>
              <w:rPr>
                <w:rFonts w:hint="eastAsia" w:ascii="宋体" w:hAnsi="宋体" w:cs="宋体"/>
                <w:color w:val="000000"/>
                <w:kern w:val="0"/>
                <w:sz w:val="13"/>
                <w:szCs w:val="13"/>
              </w:rPr>
              <w:t>38%</w:t>
            </w:r>
          </w:p>
        </w:tc>
        <w:tc>
          <w:tcPr>
            <w:tcW w:w="500" w:type="pct"/>
            <w:tcBorders>
              <w:top w:val="nil"/>
              <w:left w:val="nil"/>
              <w:bottom w:val="single" w:color="auto" w:sz="4" w:space="0"/>
              <w:right w:val="single" w:color="auto" w:sz="4" w:space="0"/>
            </w:tcBorders>
            <w:shd w:val="clear" w:color="auto" w:fill="auto"/>
            <w:noWrap/>
            <w:vAlign w:val="center"/>
          </w:tcPr>
          <w:p w14:paraId="3A5E4F6A">
            <w:pPr>
              <w:widowControl/>
              <w:jc w:val="center"/>
              <w:rPr>
                <w:rFonts w:ascii="宋体" w:hAnsi="宋体" w:cs="宋体"/>
                <w:color w:val="000000"/>
                <w:kern w:val="0"/>
                <w:sz w:val="13"/>
                <w:szCs w:val="13"/>
              </w:rPr>
            </w:pPr>
            <w:r>
              <w:rPr>
                <w:rFonts w:hint="eastAsia" w:ascii="宋体" w:hAnsi="宋体" w:cs="宋体"/>
                <w:color w:val="000000"/>
                <w:kern w:val="0"/>
                <w:sz w:val="13"/>
                <w:szCs w:val="13"/>
              </w:rPr>
              <w:t>资产评估业务收入</w:t>
            </w:r>
          </w:p>
        </w:tc>
        <w:tc>
          <w:tcPr>
            <w:tcW w:w="200" w:type="pct"/>
            <w:tcBorders>
              <w:top w:val="nil"/>
              <w:left w:val="nil"/>
              <w:bottom w:val="single" w:color="auto" w:sz="4" w:space="0"/>
              <w:right w:val="single" w:color="auto" w:sz="4" w:space="0"/>
            </w:tcBorders>
            <w:shd w:val="clear" w:color="auto" w:fill="auto"/>
            <w:noWrap/>
            <w:vAlign w:val="center"/>
          </w:tcPr>
          <w:p w14:paraId="043C11E7">
            <w:pPr>
              <w:widowControl/>
              <w:jc w:val="center"/>
              <w:rPr>
                <w:rFonts w:ascii="宋体" w:hAnsi="宋体" w:cs="宋体"/>
                <w:color w:val="000000"/>
                <w:kern w:val="0"/>
                <w:sz w:val="13"/>
                <w:szCs w:val="13"/>
              </w:rPr>
            </w:pPr>
            <w:r>
              <w:rPr>
                <w:rFonts w:hint="eastAsia" w:ascii="宋体" w:hAnsi="宋体" w:cs="宋体"/>
                <w:color w:val="000000"/>
                <w:kern w:val="0"/>
                <w:sz w:val="13"/>
                <w:szCs w:val="13"/>
              </w:rPr>
              <w:t>　</w:t>
            </w:r>
          </w:p>
        </w:tc>
        <w:tc>
          <w:tcPr>
            <w:tcW w:w="3462" w:type="pct"/>
            <w:tcBorders>
              <w:top w:val="nil"/>
              <w:left w:val="nil"/>
              <w:bottom w:val="single" w:color="auto" w:sz="4" w:space="0"/>
              <w:right w:val="single" w:color="auto" w:sz="8" w:space="0"/>
            </w:tcBorders>
            <w:shd w:val="clear" w:color="auto" w:fill="auto"/>
          </w:tcPr>
          <w:p w14:paraId="0DE1FD2D">
            <w:pPr>
              <w:widowControl/>
              <w:jc w:val="left"/>
              <w:rPr>
                <w:rFonts w:ascii="宋体" w:hAnsi="宋体" w:cs="宋体"/>
                <w:color w:val="000000"/>
                <w:kern w:val="0"/>
                <w:sz w:val="13"/>
                <w:szCs w:val="13"/>
              </w:rPr>
            </w:pPr>
            <w:r>
              <w:rPr>
                <w:rFonts w:hint="eastAsia" w:ascii="宋体" w:hAnsi="宋体" w:cs="宋体"/>
                <w:color w:val="000000"/>
                <w:kern w:val="0"/>
                <w:sz w:val="13"/>
                <w:szCs w:val="13"/>
              </w:rPr>
              <w:t xml:space="preserve">指资产评估机构上一会计年度从事资产评估业务取得的收入。资产评估机构在从事资产评估业务的同时，从事房地产估价、土地估价、矿业权评估等其他专业领域评估业务的，其营业收入扣除该专业领域评估业务收入后，作为资产评估业务收入。 </w:t>
            </w:r>
          </w:p>
        </w:tc>
      </w:tr>
      <w:tr w14:paraId="308BB6E4">
        <w:tblPrEx>
          <w:tblCellMar>
            <w:top w:w="0" w:type="dxa"/>
            <w:left w:w="108" w:type="dxa"/>
            <w:bottom w:w="0" w:type="dxa"/>
            <w:right w:w="108" w:type="dxa"/>
          </w:tblCellMar>
        </w:tblPrEx>
        <w:trPr>
          <w:trHeight w:val="322" w:hRule="atLeast"/>
        </w:trPr>
        <w:tc>
          <w:tcPr>
            <w:tcW w:w="201" w:type="pct"/>
            <w:tcBorders>
              <w:top w:val="nil"/>
              <w:left w:val="single" w:color="auto" w:sz="8" w:space="0"/>
              <w:bottom w:val="single" w:color="auto" w:sz="4" w:space="0"/>
              <w:right w:val="single" w:color="auto" w:sz="4" w:space="0"/>
            </w:tcBorders>
            <w:shd w:val="clear" w:color="auto" w:fill="auto"/>
            <w:noWrap/>
            <w:vAlign w:val="center"/>
          </w:tcPr>
          <w:p w14:paraId="32285A4C">
            <w:pPr>
              <w:widowControl/>
              <w:jc w:val="center"/>
              <w:rPr>
                <w:rFonts w:ascii="宋体" w:hAnsi="宋体" w:cs="宋体"/>
                <w:color w:val="000000"/>
                <w:kern w:val="0"/>
                <w:sz w:val="13"/>
                <w:szCs w:val="13"/>
              </w:rPr>
            </w:pPr>
            <w:r>
              <w:rPr>
                <w:rFonts w:hint="eastAsia" w:ascii="宋体" w:hAnsi="宋体" w:cs="宋体"/>
                <w:color w:val="000000"/>
                <w:kern w:val="0"/>
                <w:sz w:val="13"/>
                <w:szCs w:val="13"/>
              </w:rPr>
              <w:t>2</w:t>
            </w:r>
          </w:p>
        </w:tc>
        <w:tc>
          <w:tcPr>
            <w:tcW w:w="447" w:type="pct"/>
            <w:tcBorders>
              <w:top w:val="nil"/>
              <w:left w:val="nil"/>
              <w:bottom w:val="single" w:color="auto" w:sz="4" w:space="0"/>
              <w:right w:val="single" w:color="auto" w:sz="4" w:space="0"/>
            </w:tcBorders>
            <w:shd w:val="clear" w:color="auto" w:fill="auto"/>
            <w:noWrap/>
            <w:vAlign w:val="center"/>
          </w:tcPr>
          <w:p w14:paraId="0B628DF4">
            <w:pPr>
              <w:widowControl/>
              <w:jc w:val="center"/>
              <w:rPr>
                <w:rFonts w:ascii="宋体" w:hAnsi="宋体" w:cs="宋体"/>
                <w:color w:val="000000"/>
                <w:kern w:val="0"/>
                <w:sz w:val="13"/>
                <w:szCs w:val="13"/>
              </w:rPr>
            </w:pPr>
            <w:r>
              <w:rPr>
                <w:rFonts w:hint="eastAsia" w:ascii="宋体" w:hAnsi="宋体" w:cs="宋体"/>
                <w:color w:val="000000"/>
                <w:kern w:val="0"/>
                <w:sz w:val="13"/>
                <w:szCs w:val="13"/>
              </w:rPr>
              <w:t>资产评估师数量</w:t>
            </w:r>
          </w:p>
        </w:tc>
        <w:tc>
          <w:tcPr>
            <w:tcW w:w="190" w:type="pct"/>
            <w:tcBorders>
              <w:top w:val="nil"/>
              <w:left w:val="nil"/>
              <w:bottom w:val="single" w:color="auto" w:sz="4" w:space="0"/>
              <w:right w:val="single" w:color="auto" w:sz="4" w:space="0"/>
            </w:tcBorders>
            <w:shd w:val="clear" w:color="auto" w:fill="auto"/>
            <w:noWrap/>
            <w:vAlign w:val="center"/>
          </w:tcPr>
          <w:p w14:paraId="2E4C64B7">
            <w:pPr>
              <w:widowControl/>
              <w:jc w:val="center"/>
              <w:rPr>
                <w:rFonts w:ascii="宋体" w:hAnsi="宋体" w:cs="宋体"/>
                <w:color w:val="000000"/>
                <w:kern w:val="0"/>
                <w:sz w:val="13"/>
                <w:szCs w:val="13"/>
              </w:rPr>
            </w:pPr>
            <w:r>
              <w:rPr>
                <w:rFonts w:hint="eastAsia" w:ascii="宋体" w:hAnsi="宋体" w:cs="宋体"/>
                <w:color w:val="000000"/>
                <w:kern w:val="0"/>
                <w:sz w:val="13"/>
                <w:szCs w:val="13"/>
              </w:rPr>
              <w:t>15%</w:t>
            </w:r>
          </w:p>
        </w:tc>
        <w:tc>
          <w:tcPr>
            <w:tcW w:w="500" w:type="pct"/>
            <w:tcBorders>
              <w:top w:val="nil"/>
              <w:left w:val="nil"/>
              <w:bottom w:val="single" w:color="auto" w:sz="4" w:space="0"/>
              <w:right w:val="single" w:color="auto" w:sz="4" w:space="0"/>
            </w:tcBorders>
            <w:shd w:val="clear" w:color="auto" w:fill="auto"/>
            <w:noWrap/>
            <w:vAlign w:val="center"/>
          </w:tcPr>
          <w:p w14:paraId="24BCFD63">
            <w:pPr>
              <w:widowControl/>
              <w:jc w:val="center"/>
              <w:rPr>
                <w:rFonts w:ascii="宋体" w:hAnsi="宋体" w:cs="宋体"/>
                <w:color w:val="000000"/>
                <w:kern w:val="0"/>
                <w:sz w:val="13"/>
                <w:szCs w:val="13"/>
              </w:rPr>
            </w:pPr>
            <w:r>
              <w:rPr>
                <w:rFonts w:hint="eastAsia" w:ascii="宋体" w:hAnsi="宋体" w:cs="宋体"/>
                <w:color w:val="000000"/>
                <w:kern w:val="0"/>
                <w:sz w:val="13"/>
                <w:szCs w:val="13"/>
              </w:rPr>
              <w:t>—</w:t>
            </w:r>
          </w:p>
        </w:tc>
        <w:tc>
          <w:tcPr>
            <w:tcW w:w="200" w:type="pct"/>
            <w:tcBorders>
              <w:top w:val="nil"/>
              <w:left w:val="nil"/>
              <w:bottom w:val="single" w:color="auto" w:sz="4" w:space="0"/>
              <w:right w:val="single" w:color="auto" w:sz="4" w:space="0"/>
            </w:tcBorders>
            <w:shd w:val="clear" w:color="auto" w:fill="auto"/>
            <w:noWrap/>
            <w:vAlign w:val="center"/>
          </w:tcPr>
          <w:p w14:paraId="4D9B1650">
            <w:pPr>
              <w:widowControl/>
              <w:jc w:val="center"/>
              <w:rPr>
                <w:rFonts w:ascii="宋体" w:hAnsi="宋体" w:cs="宋体"/>
                <w:color w:val="000000"/>
                <w:kern w:val="0"/>
                <w:sz w:val="13"/>
                <w:szCs w:val="13"/>
              </w:rPr>
            </w:pPr>
            <w:r>
              <w:rPr>
                <w:rFonts w:hint="eastAsia" w:ascii="宋体" w:hAnsi="宋体" w:cs="宋体"/>
                <w:color w:val="000000"/>
                <w:kern w:val="0"/>
                <w:sz w:val="13"/>
                <w:szCs w:val="13"/>
              </w:rPr>
              <w:t>　</w:t>
            </w:r>
          </w:p>
        </w:tc>
        <w:tc>
          <w:tcPr>
            <w:tcW w:w="3462" w:type="pct"/>
            <w:tcBorders>
              <w:top w:val="nil"/>
              <w:left w:val="nil"/>
              <w:bottom w:val="single" w:color="auto" w:sz="4" w:space="0"/>
              <w:right w:val="single" w:color="auto" w:sz="8" w:space="0"/>
            </w:tcBorders>
            <w:shd w:val="clear" w:color="auto" w:fill="auto"/>
          </w:tcPr>
          <w:p w14:paraId="437301BC">
            <w:pPr>
              <w:widowControl/>
              <w:jc w:val="left"/>
              <w:rPr>
                <w:rFonts w:ascii="宋体" w:hAnsi="宋体" w:cs="宋体"/>
                <w:color w:val="000000"/>
                <w:kern w:val="0"/>
                <w:sz w:val="13"/>
                <w:szCs w:val="13"/>
              </w:rPr>
            </w:pPr>
            <w:r>
              <w:rPr>
                <w:rFonts w:hint="eastAsia" w:ascii="宋体" w:hAnsi="宋体" w:cs="宋体"/>
                <w:color w:val="000000"/>
                <w:kern w:val="0"/>
                <w:sz w:val="13"/>
                <w:szCs w:val="13"/>
              </w:rPr>
              <w:t>指资产评估机构上一会计年度资产评估师全年平均人数。</w:t>
            </w:r>
          </w:p>
        </w:tc>
      </w:tr>
      <w:tr w14:paraId="00656A9B">
        <w:tblPrEx>
          <w:tblCellMar>
            <w:top w:w="0" w:type="dxa"/>
            <w:left w:w="108" w:type="dxa"/>
            <w:bottom w:w="0" w:type="dxa"/>
            <w:right w:w="108" w:type="dxa"/>
          </w:tblCellMar>
        </w:tblPrEx>
        <w:trPr>
          <w:trHeight w:val="345" w:hRule="atLeast"/>
        </w:trPr>
        <w:tc>
          <w:tcPr>
            <w:tcW w:w="201" w:type="pct"/>
            <w:vMerge w:val="restart"/>
            <w:tcBorders>
              <w:top w:val="nil"/>
              <w:left w:val="single" w:color="auto" w:sz="8" w:space="0"/>
              <w:bottom w:val="single" w:color="auto" w:sz="4" w:space="0"/>
              <w:right w:val="single" w:color="auto" w:sz="4" w:space="0"/>
            </w:tcBorders>
            <w:shd w:val="clear" w:color="auto" w:fill="auto"/>
            <w:noWrap/>
            <w:vAlign w:val="center"/>
          </w:tcPr>
          <w:p w14:paraId="06BED090">
            <w:pPr>
              <w:widowControl/>
              <w:jc w:val="center"/>
              <w:rPr>
                <w:rFonts w:ascii="宋体" w:hAnsi="宋体" w:cs="宋体"/>
                <w:color w:val="000000"/>
                <w:kern w:val="0"/>
                <w:sz w:val="13"/>
                <w:szCs w:val="13"/>
              </w:rPr>
            </w:pPr>
            <w:r>
              <w:rPr>
                <w:rFonts w:hint="eastAsia" w:ascii="宋体" w:hAnsi="宋体" w:cs="宋体"/>
                <w:color w:val="000000"/>
                <w:kern w:val="0"/>
                <w:sz w:val="13"/>
                <w:szCs w:val="13"/>
              </w:rPr>
              <w:t>3</w:t>
            </w:r>
          </w:p>
        </w:tc>
        <w:tc>
          <w:tcPr>
            <w:tcW w:w="447" w:type="pct"/>
            <w:vMerge w:val="restart"/>
            <w:tcBorders>
              <w:top w:val="nil"/>
              <w:left w:val="single" w:color="auto" w:sz="4" w:space="0"/>
              <w:bottom w:val="single" w:color="auto" w:sz="4" w:space="0"/>
              <w:right w:val="single" w:color="auto" w:sz="4" w:space="0"/>
            </w:tcBorders>
            <w:shd w:val="clear" w:color="auto" w:fill="auto"/>
            <w:noWrap/>
            <w:vAlign w:val="center"/>
          </w:tcPr>
          <w:p w14:paraId="432ADB1E">
            <w:pPr>
              <w:widowControl/>
              <w:jc w:val="center"/>
              <w:rPr>
                <w:rFonts w:ascii="宋体" w:hAnsi="宋体" w:cs="宋体"/>
                <w:color w:val="000000"/>
                <w:kern w:val="0"/>
                <w:sz w:val="13"/>
                <w:szCs w:val="13"/>
              </w:rPr>
            </w:pPr>
            <w:r>
              <w:rPr>
                <w:rFonts w:hint="eastAsia" w:ascii="宋体" w:hAnsi="宋体" w:cs="宋体"/>
                <w:color w:val="000000"/>
                <w:kern w:val="0"/>
                <w:sz w:val="13"/>
                <w:szCs w:val="13"/>
              </w:rPr>
              <w:t>党群建设</w:t>
            </w:r>
          </w:p>
        </w:tc>
        <w:tc>
          <w:tcPr>
            <w:tcW w:w="190" w:type="pct"/>
            <w:vMerge w:val="restart"/>
            <w:tcBorders>
              <w:top w:val="nil"/>
              <w:left w:val="single" w:color="auto" w:sz="4" w:space="0"/>
              <w:bottom w:val="single" w:color="auto" w:sz="4" w:space="0"/>
              <w:right w:val="single" w:color="auto" w:sz="4" w:space="0"/>
            </w:tcBorders>
            <w:shd w:val="clear" w:color="auto" w:fill="auto"/>
            <w:noWrap/>
            <w:vAlign w:val="center"/>
          </w:tcPr>
          <w:p w14:paraId="748145AF">
            <w:pPr>
              <w:widowControl/>
              <w:jc w:val="center"/>
              <w:rPr>
                <w:rFonts w:ascii="宋体" w:hAnsi="宋体" w:cs="宋体"/>
                <w:color w:val="000000"/>
                <w:kern w:val="0"/>
                <w:sz w:val="13"/>
                <w:szCs w:val="13"/>
              </w:rPr>
            </w:pPr>
            <w:r>
              <w:rPr>
                <w:rFonts w:hint="eastAsia" w:ascii="宋体" w:hAnsi="宋体" w:cs="宋体"/>
                <w:color w:val="000000"/>
                <w:kern w:val="0"/>
                <w:sz w:val="13"/>
                <w:szCs w:val="13"/>
              </w:rPr>
              <w:t>15%</w:t>
            </w:r>
          </w:p>
        </w:tc>
        <w:tc>
          <w:tcPr>
            <w:tcW w:w="500" w:type="pct"/>
            <w:tcBorders>
              <w:top w:val="nil"/>
              <w:left w:val="nil"/>
              <w:bottom w:val="single" w:color="auto" w:sz="4" w:space="0"/>
              <w:right w:val="single" w:color="auto" w:sz="4" w:space="0"/>
            </w:tcBorders>
            <w:shd w:val="clear" w:color="auto" w:fill="auto"/>
            <w:noWrap/>
            <w:vAlign w:val="center"/>
          </w:tcPr>
          <w:p w14:paraId="1BF816B2">
            <w:pPr>
              <w:widowControl/>
              <w:jc w:val="center"/>
              <w:rPr>
                <w:rFonts w:ascii="宋体" w:hAnsi="宋体" w:cs="宋体"/>
                <w:color w:val="000000"/>
                <w:kern w:val="0"/>
                <w:sz w:val="13"/>
                <w:szCs w:val="13"/>
              </w:rPr>
            </w:pPr>
            <w:r>
              <w:rPr>
                <w:rFonts w:hint="eastAsia" w:ascii="宋体" w:hAnsi="宋体" w:cs="宋体"/>
                <w:color w:val="000000"/>
                <w:kern w:val="0"/>
                <w:sz w:val="13"/>
                <w:szCs w:val="13"/>
              </w:rPr>
              <w:t>组织建设</w:t>
            </w:r>
          </w:p>
        </w:tc>
        <w:tc>
          <w:tcPr>
            <w:tcW w:w="200" w:type="pct"/>
            <w:tcBorders>
              <w:top w:val="nil"/>
              <w:left w:val="nil"/>
              <w:bottom w:val="single" w:color="auto" w:sz="4" w:space="0"/>
              <w:right w:val="single" w:color="auto" w:sz="4" w:space="0"/>
            </w:tcBorders>
            <w:shd w:val="clear" w:color="auto" w:fill="auto"/>
            <w:noWrap/>
            <w:vAlign w:val="center"/>
          </w:tcPr>
          <w:p w14:paraId="1917C819">
            <w:pPr>
              <w:widowControl/>
              <w:jc w:val="center"/>
              <w:rPr>
                <w:rFonts w:ascii="宋体" w:hAnsi="宋体" w:cs="宋体"/>
                <w:color w:val="000000"/>
                <w:kern w:val="0"/>
                <w:sz w:val="13"/>
                <w:szCs w:val="13"/>
              </w:rPr>
            </w:pPr>
            <w:r>
              <w:rPr>
                <w:rFonts w:hint="eastAsia" w:ascii="宋体" w:hAnsi="宋体" w:cs="宋体"/>
                <w:color w:val="000000"/>
                <w:kern w:val="0"/>
                <w:sz w:val="13"/>
                <w:szCs w:val="13"/>
              </w:rPr>
              <w:t>5</w:t>
            </w:r>
          </w:p>
        </w:tc>
        <w:tc>
          <w:tcPr>
            <w:tcW w:w="3462" w:type="pct"/>
            <w:tcBorders>
              <w:top w:val="nil"/>
              <w:left w:val="nil"/>
              <w:bottom w:val="single" w:color="auto" w:sz="4" w:space="0"/>
              <w:right w:val="single" w:color="auto" w:sz="8" w:space="0"/>
            </w:tcBorders>
            <w:shd w:val="clear" w:color="auto" w:fill="auto"/>
          </w:tcPr>
          <w:p w14:paraId="5D6FC866">
            <w:pPr>
              <w:widowControl/>
              <w:jc w:val="left"/>
              <w:rPr>
                <w:rFonts w:ascii="宋体" w:hAnsi="宋体" w:cs="宋体"/>
                <w:color w:val="000000"/>
                <w:kern w:val="0"/>
                <w:sz w:val="13"/>
                <w:szCs w:val="13"/>
              </w:rPr>
            </w:pPr>
            <w:r>
              <w:rPr>
                <w:rFonts w:hint="eastAsia" w:ascii="宋体" w:hAnsi="宋体" w:cs="宋体"/>
                <w:color w:val="000000"/>
                <w:kern w:val="0"/>
                <w:sz w:val="13"/>
                <w:szCs w:val="13"/>
              </w:rPr>
              <w:t>（1）评估机构成立党组织的得3.5分；（2）成立团组织、工会或妇女小组的，每成立一类组织得0.5分(最高1.5分）。</w:t>
            </w:r>
          </w:p>
        </w:tc>
      </w:tr>
      <w:tr w14:paraId="0635B7F0">
        <w:tblPrEx>
          <w:tblCellMar>
            <w:top w:w="0" w:type="dxa"/>
            <w:left w:w="108" w:type="dxa"/>
            <w:bottom w:w="0" w:type="dxa"/>
            <w:right w:w="108" w:type="dxa"/>
          </w:tblCellMar>
        </w:tblPrEx>
        <w:trPr>
          <w:trHeight w:val="735" w:hRule="atLeast"/>
        </w:trPr>
        <w:tc>
          <w:tcPr>
            <w:tcW w:w="201" w:type="pct"/>
            <w:vMerge w:val="continue"/>
            <w:tcBorders>
              <w:top w:val="nil"/>
              <w:left w:val="single" w:color="auto" w:sz="8" w:space="0"/>
              <w:bottom w:val="single" w:color="auto" w:sz="4" w:space="0"/>
              <w:right w:val="single" w:color="auto" w:sz="4" w:space="0"/>
            </w:tcBorders>
            <w:vAlign w:val="center"/>
          </w:tcPr>
          <w:p w14:paraId="2654CCDF">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auto" w:sz="4" w:space="0"/>
              <w:right w:val="single" w:color="auto" w:sz="4" w:space="0"/>
            </w:tcBorders>
            <w:vAlign w:val="center"/>
          </w:tcPr>
          <w:p w14:paraId="7442336B">
            <w:pPr>
              <w:widowControl/>
              <w:jc w:val="left"/>
              <w:rPr>
                <w:rFonts w:ascii="宋体" w:hAnsi="宋体" w:cs="宋体"/>
                <w:color w:val="000000"/>
                <w:kern w:val="0"/>
                <w:sz w:val="13"/>
                <w:szCs w:val="13"/>
              </w:rPr>
            </w:pPr>
          </w:p>
        </w:tc>
        <w:tc>
          <w:tcPr>
            <w:tcW w:w="190" w:type="pct"/>
            <w:vMerge w:val="continue"/>
            <w:tcBorders>
              <w:top w:val="nil"/>
              <w:left w:val="single" w:color="auto" w:sz="4" w:space="0"/>
              <w:bottom w:val="single" w:color="auto" w:sz="4" w:space="0"/>
              <w:right w:val="single" w:color="auto" w:sz="4" w:space="0"/>
            </w:tcBorders>
            <w:vAlign w:val="center"/>
          </w:tcPr>
          <w:p w14:paraId="6DD6875E">
            <w:pPr>
              <w:widowControl/>
              <w:jc w:val="left"/>
              <w:rPr>
                <w:rFonts w:ascii="宋体" w:hAnsi="宋体" w:cs="宋体"/>
                <w:color w:val="000000"/>
                <w:kern w:val="0"/>
                <w:sz w:val="13"/>
                <w:szCs w:val="13"/>
              </w:rPr>
            </w:pPr>
          </w:p>
        </w:tc>
        <w:tc>
          <w:tcPr>
            <w:tcW w:w="500" w:type="pct"/>
            <w:tcBorders>
              <w:top w:val="nil"/>
              <w:left w:val="nil"/>
              <w:bottom w:val="single" w:color="auto" w:sz="4" w:space="0"/>
              <w:right w:val="single" w:color="auto" w:sz="4" w:space="0"/>
            </w:tcBorders>
            <w:shd w:val="clear" w:color="auto" w:fill="auto"/>
            <w:noWrap/>
            <w:vAlign w:val="center"/>
          </w:tcPr>
          <w:p w14:paraId="6470784F">
            <w:pPr>
              <w:widowControl/>
              <w:jc w:val="center"/>
              <w:rPr>
                <w:rFonts w:ascii="宋体" w:hAnsi="宋体" w:cs="宋体"/>
                <w:color w:val="000000"/>
                <w:kern w:val="0"/>
                <w:sz w:val="13"/>
                <w:szCs w:val="13"/>
              </w:rPr>
            </w:pPr>
            <w:r>
              <w:rPr>
                <w:rFonts w:hint="eastAsia" w:ascii="宋体" w:hAnsi="宋体" w:cs="宋体"/>
                <w:color w:val="000000"/>
                <w:kern w:val="0"/>
                <w:sz w:val="13"/>
                <w:szCs w:val="13"/>
              </w:rPr>
              <w:t>功能发挥</w:t>
            </w:r>
          </w:p>
        </w:tc>
        <w:tc>
          <w:tcPr>
            <w:tcW w:w="200" w:type="pct"/>
            <w:tcBorders>
              <w:top w:val="nil"/>
              <w:left w:val="nil"/>
              <w:bottom w:val="single" w:color="auto" w:sz="4" w:space="0"/>
              <w:right w:val="single" w:color="auto" w:sz="4" w:space="0"/>
            </w:tcBorders>
            <w:shd w:val="clear" w:color="auto" w:fill="auto"/>
            <w:noWrap/>
            <w:vAlign w:val="center"/>
          </w:tcPr>
          <w:p w14:paraId="52E685BA">
            <w:pPr>
              <w:widowControl/>
              <w:jc w:val="center"/>
              <w:rPr>
                <w:rFonts w:ascii="宋体" w:hAnsi="宋体" w:cs="宋体"/>
                <w:color w:val="000000"/>
                <w:kern w:val="0"/>
                <w:sz w:val="13"/>
                <w:szCs w:val="13"/>
              </w:rPr>
            </w:pPr>
            <w:r>
              <w:rPr>
                <w:rFonts w:hint="eastAsia" w:ascii="宋体" w:hAnsi="宋体" w:cs="宋体"/>
                <w:color w:val="000000"/>
                <w:kern w:val="0"/>
                <w:sz w:val="13"/>
                <w:szCs w:val="13"/>
              </w:rPr>
              <w:t>6</w:t>
            </w:r>
          </w:p>
        </w:tc>
        <w:tc>
          <w:tcPr>
            <w:tcW w:w="3462" w:type="pct"/>
            <w:tcBorders>
              <w:top w:val="nil"/>
              <w:left w:val="nil"/>
              <w:bottom w:val="single" w:color="auto" w:sz="4" w:space="0"/>
              <w:right w:val="single" w:color="auto" w:sz="8" w:space="0"/>
            </w:tcBorders>
            <w:shd w:val="clear" w:color="auto" w:fill="auto"/>
          </w:tcPr>
          <w:p w14:paraId="30158F35">
            <w:pPr>
              <w:widowControl/>
              <w:jc w:val="left"/>
              <w:rPr>
                <w:rFonts w:ascii="宋体" w:hAnsi="宋体" w:cs="宋体"/>
                <w:color w:val="000000"/>
                <w:kern w:val="0"/>
                <w:sz w:val="13"/>
                <w:szCs w:val="13"/>
              </w:rPr>
            </w:pPr>
            <w:r>
              <w:rPr>
                <w:rFonts w:hint="eastAsia" w:ascii="宋体" w:hAnsi="宋体" w:cs="宋体"/>
                <w:color w:val="000000"/>
                <w:kern w:val="0"/>
                <w:sz w:val="13"/>
                <w:szCs w:val="13"/>
              </w:rPr>
              <w:t>（1）将党建相关内容写入资产评估机构章程（合伙协议），完成工商登记的得2分；（2）评估机构管理层和党组织班子交叉任职且机构负责人担任党组织书记且有效发挥组织功能的得3分；（3）不满足“交叉任职”条件的，党支部委员参加或列席管理层有关会议，使党组织有效参与资产评估机构的重大决策的得1分。</w:t>
            </w:r>
          </w:p>
        </w:tc>
      </w:tr>
      <w:tr w14:paraId="443D5557">
        <w:tblPrEx>
          <w:tblCellMar>
            <w:top w:w="0" w:type="dxa"/>
            <w:left w:w="108" w:type="dxa"/>
            <w:bottom w:w="0" w:type="dxa"/>
            <w:right w:w="108" w:type="dxa"/>
          </w:tblCellMar>
        </w:tblPrEx>
        <w:trPr>
          <w:trHeight w:val="480" w:hRule="atLeast"/>
        </w:trPr>
        <w:tc>
          <w:tcPr>
            <w:tcW w:w="201" w:type="pct"/>
            <w:vMerge w:val="continue"/>
            <w:tcBorders>
              <w:top w:val="nil"/>
              <w:left w:val="single" w:color="auto" w:sz="8" w:space="0"/>
              <w:bottom w:val="single" w:color="auto" w:sz="4" w:space="0"/>
              <w:right w:val="single" w:color="auto" w:sz="4" w:space="0"/>
            </w:tcBorders>
            <w:vAlign w:val="center"/>
          </w:tcPr>
          <w:p w14:paraId="40495D8F">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auto" w:sz="4" w:space="0"/>
              <w:right w:val="single" w:color="auto" w:sz="4" w:space="0"/>
            </w:tcBorders>
            <w:vAlign w:val="center"/>
          </w:tcPr>
          <w:p w14:paraId="3001D995">
            <w:pPr>
              <w:widowControl/>
              <w:jc w:val="left"/>
              <w:rPr>
                <w:rFonts w:ascii="宋体" w:hAnsi="宋体" w:cs="宋体"/>
                <w:color w:val="000000"/>
                <w:kern w:val="0"/>
                <w:sz w:val="13"/>
                <w:szCs w:val="13"/>
              </w:rPr>
            </w:pPr>
          </w:p>
        </w:tc>
        <w:tc>
          <w:tcPr>
            <w:tcW w:w="190" w:type="pct"/>
            <w:vMerge w:val="continue"/>
            <w:tcBorders>
              <w:top w:val="nil"/>
              <w:left w:val="single" w:color="auto" w:sz="4" w:space="0"/>
              <w:bottom w:val="single" w:color="auto" w:sz="4" w:space="0"/>
              <w:right w:val="single" w:color="auto" w:sz="4" w:space="0"/>
            </w:tcBorders>
            <w:vAlign w:val="center"/>
          </w:tcPr>
          <w:p w14:paraId="4FBB4AF8">
            <w:pPr>
              <w:widowControl/>
              <w:jc w:val="left"/>
              <w:rPr>
                <w:rFonts w:ascii="宋体" w:hAnsi="宋体" w:cs="宋体"/>
                <w:color w:val="000000"/>
                <w:kern w:val="0"/>
                <w:sz w:val="13"/>
                <w:szCs w:val="13"/>
              </w:rPr>
            </w:pPr>
          </w:p>
        </w:tc>
        <w:tc>
          <w:tcPr>
            <w:tcW w:w="500" w:type="pct"/>
            <w:tcBorders>
              <w:top w:val="nil"/>
              <w:left w:val="nil"/>
              <w:bottom w:val="single" w:color="auto" w:sz="4" w:space="0"/>
              <w:right w:val="single" w:color="auto" w:sz="4" w:space="0"/>
            </w:tcBorders>
            <w:shd w:val="clear" w:color="auto" w:fill="auto"/>
            <w:noWrap/>
            <w:vAlign w:val="center"/>
          </w:tcPr>
          <w:p w14:paraId="182075AE">
            <w:pPr>
              <w:widowControl/>
              <w:jc w:val="center"/>
              <w:rPr>
                <w:rFonts w:ascii="宋体" w:hAnsi="宋体" w:cs="宋体"/>
                <w:color w:val="000000"/>
                <w:kern w:val="0"/>
                <w:sz w:val="13"/>
                <w:szCs w:val="13"/>
              </w:rPr>
            </w:pPr>
            <w:r>
              <w:rPr>
                <w:rFonts w:hint="eastAsia" w:ascii="宋体" w:hAnsi="宋体" w:cs="宋体"/>
                <w:color w:val="000000"/>
                <w:kern w:val="0"/>
                <w:sz w:val="13"/>
                <w:szCs w:val="13"/>
              </w:rPr>
              <w:t>党群活动</w:t>
            </w:r>
          </w:p>
        </w:tc>
        <w:tc>
          <w:tcPr>
            <w:tcW w:w="200" w:type="pct"/>
            <w:tcBorders>
              <w:top w:val="nil"/>
              <w:left w:val="nil"/>
              <w:bottom w:val="single" w:color="auto" w:sz="4" w:space="0"/>
              <w:right w:val="single" w:color="auto" w:sz="4" w:space="0"/>
            </w:tcBorders>
            <w:shd w:val="clear" w:color="auto" w:fill="auto"/>
            <w:noWrap/>
            <w:vAlign w:val="center"/>
          </w:tcPr>
          <w:p w14:paraId="7CFDE143">
            <w:pPr>
              <w:widowControl/>
              <w:jc w:val="center"/>
              <w:rPr>
                <w:rFonts w:ascii="宋体" w:hAnsi="宋体" w:cs="宋体"/>
                <w:color w:val="000000"/>
                <w:kern w:val="0"/>
                <w:sz w:val="13"/>
                <w:szCs w:val="13"/>
              </w:rPr>
            </w:pPr>
            <w:r>
              <w:rPr>
                <w:rFonts w:hint="eastAsia" w:ascii="宋体" w:hAnsi="宋体" w:cs="宋体"/>
                <w:color w:val="000000"/>
                <w:kern w:val="0"/>
                <w:sz w:val="13"/>
                <w:szCs w:val="13"/>
              </w:rPr>
              <w:t>4</w:t>
            </w:r>
          </w:p>
        </w:tc>
        <w:tc>
          <w:tcPr>
            <w:tcW w:w="3462" w:type="pct"/>
            <w:tcBorders>
              <w:top w:val="nil"/>
              <w:left w:val="nil"/>
              <w:bottom w:val="single" w:color="auto" w:sz="4" w:space="0"/>
              <w:right w:val="single" w:color="auto" w:sz="8" w:space="0"/>
            </w:tcBorders>
            <w:shd w:val="clear" w:color="auto" w:fill="auto"/>
          </w:tcPr>
          <w:p w14:paraId="0AB01A40">
            <w:pPr>
              <w:widowControl/>
              <w:jc w:val="left"/>
              <w:rPr>
                <w:rFonts w:ascii="宋体" w:hAnsi="宋体" w:cs="宋体"/>
                <w:color w:val="000000"/>
                <w:kern w:val="0"/>
                <w:sz w:val="13"/>
                <w:szCs w:val="13"/>
              </w:rPr>
            </w:pPr>
            <w:r>
              <w:rPr>
                <w:rFonts w:hint="eastAsia" w:ascii="宋体" w:hAnsi="宋体" w:cs="宋体"/>
                <w:color w:val="000000"/>
                <w:kern w:val="0"/>
                <w:sz w:val="13"/>
                <w:szCs w:val="13"/>
              </w:rPr>
              <w:t>按要求参加省市两级行业党委（总支）、团委（团工委）、工会、妇委、统战部门组织的活动的得2.5分。评估机构积极加强党建群团建设，组织开展党、团、工、妇活动的得1.5分。</w:t>
            </w:r>
          </w:p>
        </w:tc>
      </w:tr>
      <w:tr w14:paraId="02EFF06F">
        <w:tblPrEx>
          <w:tblCellMar>
            <w:top w:w="0" w:type="dxa"/>
            <w:left w:w="108" w:type="dxa"/>
            <w:bottom w:w="0" w:type="dxa"/>
            <w:right w:w="108" w:type="dxa"/>
          </w:tblCellMar>
        </w:tblPrEx>
        <w:trPr>
          <w:trHeight w:val="578" w:hRule="atLeast"/>
        </w:trPr>
        <w:tc>
          <w:tcPr>
            <w:tcW w:w="201" w:type="pct"/>
            <w:vMerge w:val="restart"/>
            <w:tcBorders>
              <w:top w:val="nil"/>
              <w:left w:val="single" w:color="auto" w:sz="8" w:space="0"/>
              <w:bottom w:val="single" w:color="000000" w:sz="4" w:space="0"/>
              <w:right w:val="single" w:color="auto" w:sz="4" w:space="0"/>
            </w:tcBorders>
            <w:shd w:val="clear" w:color="auto" w:fill="auto"/>
            <w:noWrap/>
            <w:vAlign w:val="center"/>
          </w:tcPr>
          <w:p w14:paraId="1CF943AC">
            <w:pPr>
              <w:widowControl/>
              <w:jc w:val="center"/>
              <w:rPr>
                <w:rFonts w:ascii="宋体" w:hAnsi="宋体" w:cs="宋体"/>
                <w:color w:val="000000"/>
                <w:kern w:val="0"/>
                <w:sz w:val="13"/>
                <w:szCs w:val="13"/>
              </w:rPr>
            </w:pPr>
            <w:r>
              <w:rPr>
                <w:rFonts w:hint="eastAsia" w:ascii="宋体" w:hAnsi="宋体" w:cs="宋体"/>
                <w:color w:val="000000"/>
                <w:kern w:val="0"/>
                <w:sz w:val="13"/>
                <w:szCs w:val="13"/>
              </w:rPr>
              <w:t>4</w:t>
            </w:r>
          </w:p>
        </w:tc>
        <w:tc>
          <w:tcPr>
            <w:tcW w:w="447" w:type="pct"/>
            <w:vMerge w:val="restart"/>
            <w:tcBorders>
              <w:top w:val="nil"/>
              <w:left w:val="single" w:color="auto" w:sz="4" w:space="0"/>
              <w:bottom w:val="single" w:color="000000" w:sz="4" w:space="0"/>
              <w:right w:val="single" w:color="auto" w:sz="4" w:space="0"/>
            </w:tcBorders>
            <w:shd w:val="clear" w:color="auto" w:fill="auto"/>
            <w:noWrap/>
            <w:vAlign w:val="center"/>
          </w:tcPr>
          <w:p w14:paraId="491EEA41">
            <w:pPr>
              <w:widowControl/>
              <w:jc w:val="center"/>
              <w:rPr>
                <w:rFonts w:ascii="宋体" w:hAnsi="宋体" w:cs="宋体"/>
                <w:color w:val="000000"/>
                <w:kern w:val="0"/>
                <w:sz w:val="13"/>
                <w:szCs w:val="13"/>
              </w:rPr>
            </w:pPr>
            <w:r>
              <w:rPr>
                <w:rFonts w:hint="eastAsia" w:ascii="宋体" w:hAnsi="宋体" w:cs="宋体"/>
                <w:color w:val="000000"/>
                <w:kern w:val="0"/>
                <w:sz w:val="13"/>
                <w:szCs w:val="13"/>
              </w:rPr>
              <w:t>执业质量</w:t>
            </w:r>
          </w:p>
        </w:tc>
        <w:tc>
          <w:tcPr>
            <w:tcW w:w="190" w:type="pct"/>
            <w:vMerge w:val="restart"/>
            <w:tcBorders>
              <w:top w:val="nil"/>
              <w:left w:val="single" w:color="auto" w:sz="4" w:space="0"/>
              <w:bottom w:val="single" w:color="000000" w:sz="4" w:space="0"/>
              <w:right w:val="single" w:color="auto" w:sz="4" w:space="0"/>
            </w:tcBorders>
            <w:shd w:val="clear" w:color="auto" w:fill="auto"/>
            <w:noWrap/>
            <w:vAlign w:val="center"/>
          </w:tcPr>
          <w:p w14:paraId="3C2D0AFF">
            <w:pPr>
              <w:widowControl/>
              <w:jc w:val="center"/>
              <w:rPr>
                <w:rFonts w:ascii="宋体" w:hAnsi="宋体" w:cs="宋体"/>
                <w:color w:val="000000"/>
                <w:kern w:val="0"/>
                <w:sz w:val="13"/>
                <w:szCs w:val="13"/>
              </w:rPr>
            </w:pPr>
            <w:r>
              <w:rPr>
                <w:rFonts w:hint="eastAsia" w:ascii="宋体" w:hAnsi="宋体" w:cs="宋体"/>
                <w:color w:val="000000"/>
                <w:kern w:val="0"/>
                <w:sz w:val="13"/>
                <w:szCs w:val="13"/>
              </w:rPr>
              <w:t>15%</w:t>
            </w:r>
          </w:p>
        </w:tc>
        <w:tc>
          <w:tcPr>
            <w:tcW w:w="500" w:type="pct"/>
            <w:tcBorders>
              <w:top w:val="nil"/>
              <w:left w:val="nil"/>
              <w:bottom w:val="single" w:color="auto" w:sz="4" w:space="0"/>
              <w:right w:val="single" w:color="auto" w:sz="4" w:space="0"/>
            </w:tcBorders>
            <w:shd w:val="clear" w:color="auto" w:fill="auto"/>
            <w:noWrap/>
            <w:vAlign w:val="center"/>
          </w:tcPr>
          <w:p w14:paraId="2F50FA34">
            <w:pPr>
              <w:widowControl/>
              <w:jc w:val="center"/>
              <w:rPr>
                <w:rFonts w:ascii="宋体" w:hAnsi="宋体" w:cs="宋体"/>
                <w:color w:val="000000"/>
                <w:kern w:val="0"/>
                <w:sz w:val="13"/>
                <w:szCs w:val="13"/>
              </w:rPr>
            </w:pPr>
            <w:r>
              <w:rPr>
                <w:rFonts w:hint="eastAsia" w:ascii="宋体" w:hAnsi="宋体" w:cs="宋体"/>
                <w:color w:val="000000"/>
                <w:kern w:val="0"/>
                <w:sz w:val="13"/>
                <w:szCs w:val="13"/>
              </w:rPr>
              <w:t>行政处罚</w:t>
            </w:r>
          </w:p>
        </w:tc>
        <w:tc>
          <w:tcPr>
            <w:tcW w:w="200" w:type="pct"/>
            <w:vMerge w:val="restart"/>
            <w:tcBorders>
              <w:top w:val="nil"/>
              <w:left w:val="single" w:color="auto" w:sz="4" w:space="0"/>
              <w:bottom w:val="single" w:color="000000" w:sz="4" w:space="0"/>
              <w:right w:val="single" w:color="auto" w:sz="4" w:space="0"/>
            </w:tcBorders>
            <w:shd w:val="clear" w:color="auto" w:fill="auto"/>
            <w:noWrap/>
            <w:vAlign w:val="center"/>
          </w:tcPr>
          <w:p w14:paraId="5A72F61F">
            <w:pPr>
              <w:widowControl/>
              <w:jc w:val="center"/>
              <w:rPr>
                <w:rFonts w:ascii="宋体" w:hAnsi="宋体" w:cs="宋体"/>
                <w:color w:val="000000"/>
                <w:kern w:val="0"/>
                <w:sz w:val="13"/>
                <w:szCs w:val="13"/>
              </w:rPr>
            </w:pPr>
            <w:r>
              <w:rPr>
                <w:rFonts w:hint="eastAsia" w:ascii="宋体" w:hAnsi="宋体" w:cs="宋体"/>
                <w:color w:val="000000"/>
                <w:kern w:val="0"/>
                <w:sz w:val="13"/>
                <w:szCs w:val="13"/>
              </w:rPr>
              <w:t>15</w:t>
            </w:r>
          </w:p>
        </w:tc>
        <w:tc>
          <w:tcPr>
            <w:tcW w:w="3462" w:type="pct"/>
            <w:tcBorders>
              <w:top w:val="nil"/>
              <w:left w:val="nil"/>
              <w:bottom w:val="single" w:color="auto" w:sz="4" w:space="0"/>
              <w:right w:val="single" w:color="auto" w:sz="8" w:space="0"/>
            </w:tcBorders>
            <w:shd w:val="clear" w:color="auto" w:fill="auto"/>
          </w:tcPr>
          <w:p w14:paraId="083C8D23">
            <w:pPr>
              <w:widowControl/>
              <w:jc w:val="left"/>
              <w:rPr>
                <w:rFonts w:ascii="宋体" w:hAnsi="宋体" w:cs="宋体"/>
                <w:color w:val="000000"/>
                <w:kern w:val="0"/>
                <w:sz w:val="13"/>
                <w:szCs w:val="13"/>
              </w:rPr>
            </w:pPr>
            <w:r>
              <w:rPr>
                <w:rFonts w:hint="eastAsia" w:ascii="宋体" w:hAnsi="宋体" w:cs="宋体"/>
                <w:color w:val="000000"/>
                <w:kern w:val="0"/>
                <w:sz w:val="13"/>
                <w:szCs w:val="13"/>
              </w:rPr>
              <w:t>（1）评估机构及其资产评估专业人员评价年度内受到有关评估行政管理部门暂停执业6个月以下（不含6个月）或没收违法所得、罚款行政处罚的减15分；（2）资产评估机构受到其他种类行政处罚的减7.5分；（3）资产评估专业人员受到其他种类行政处罚的每人次减3分，扣完为止。</w:t>
            </w:r>
          </w:p>
        </w:tc>
      </w:tr>
      <w:tr w14:paraId="66EA89D9">
        <w:tblPrEx>
          <w:tblCellMar>
            <w:top w:w="0" w:type="dxa"/>
            <w:left w:w="108" w:type="dxa"/>
            <w:bottom w:w="0" w:type="dxa"/>
            <w:right w:w="108" w:type="dxa"/>
          </w:tblCellMar>
        </w:tblPrEx>
        <w:trPr>
          <w:trHeight w:val="555" w:hRule="atLeast"/>
        </w:trPr>
        <w:tc>
          <w:tcPr>
            <w:tcW w:w="201" w:type="pct"/>
            <w:vMerge w:val="continue"/>
            <w:tcBorders>
              <w:top w:val="nil"/>
              <w:left w:val="single" w:color="auto" w:sz="8" w:space="0"/>
              <w:bottom w:val="single" w:color="000000" w:sz="4" w:space="0"/>
              <w:right w:val="single" w:color="auto" w:sz="4" w:space="0"/>
            </w:tcBorders>
            <w:vAlign w:val="center"/>
          </w:tcPr>
          <w:p w14:paraId="5F164AAB">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000000" w:sz="4" w:space="0"/>
              <w:right w:val="single" w:color="auto" w:sz="4" w:space="0"/>
            </w:tcBorders>
            <w:vAlign w:val="center"/>
          </w:tcPr>
          <w:p w14:paraId="01B377B6">
            <w:pPr>
              <w:widowControl/>
              <w:jc w:val="left"/>
              <w:rPr>
                <w:rFonts w:ascii="宋体" w:hAnsi="宋体" w:cs="宋体"/>
                <w:color w:val="000000"/>
                <w:kern w:val="0"/>
                <w:sz w:val="13"/>
                <w:szCs w:val="13"/>
              </w:rPr>
            </w:pPr>
          </w:p>
        </w:tc>
        <w:tc>
          <w:tcPr>
            <w:tcW w:w="190" w:type="pct"/>
            <w:vMerge w:val="continue"/>
            <w:tcBorders>
              <w:top w:val="nil"/>
              <w:left w:val="single" w:color="auto" w:sz="4" w:space="0"/>
              <w:bottom w:val="single" w:color="000000" w:sz="4" w:space="0"/>
              <w:right w:val="single" w:color="auto" w:sz="4" w:space="0"/>
            </w:tcBorders>
            <w:vAlign w:val="center"/>
          </w:tcPr>
          <w:p w14:paraId="03798CD0">
            <w:pPr>
              <w:widowControl/>
              <w:jc w:val="left"/>
              <w:rPr>
                <w:rFonts w:ascii="宋体" w:hAnsi="宋体" w:cs="宋体"/>
                <w:color w:val="000000"/>
                <w:kern w:val="0"/>
                <w:sz w:val="13"/>
                <w:szCs w:val="13"/>
              </w:rPr>
            </w:pPr>
          </w:p>
        </w:tc>
        <w:tc>
          <w:tcPr>
            <w:tcW w:w="500" w:type="pct"/>
            <w:tcBorders>
              <w:top w:val="nil"/>
              <w:left w:val="nil"/>
              <w:bottom w:val="single" w:color="auto" w:sz="4" w:space="0"/>
              <w:right w:val="single" w:color="auto" w:sz="4" w:space="0"/>
            </w:tcBorders>
            <w:shd w:val="clear" w:color="auto" w:fill="auto"/>
            <w:noWrap/>
            <w:vAlign w:val="center"/>
          </w:tcPr>
          <w:p w14:paraId="5972DFE8">
            <w:pPr>
              <w:widowControl/>
              <w:jc w:val="center"/>
              <w:rPr>
                <w:rFonts w:ascii="宋体" w:hAnsi="宋体" w:cs="宋体"/>
                <w:color w:val="000000"/>
                <w:kern w:val="0"/>
                <w:sz w:val="13"/>
                <w:szCs w:val="13"/>
              </w:rPr>
            </w:pPr>
            <w:r>
              <w:rPr>
                <w:rFonts w:hint="eastAsia" w:ascii="宋体" w:hAnsi="宋体" w:cs="宋体"/>
                <w:color w:val="000000"/>
                <w:kern w:val="0"/>
                <w:sz w:val="13"/>
                <w:szCs w:val="13"/>
              </w:rPr>
              <w:t>自律惩戒</w:t>
            </w:r>
          </w:p>
        </w:tc>
        <w:tc>
          <w:tcPr>
            <w:tcW w:w="200" w:type="pct"/>
            <w:vMerge w:val="continue"/>
            <w:tcBorders>
              <w:top w:val="nil"/>
              <w:left w:val="single" w:color="auto" w:sz="4" w:space="0"/>
              <w:bottom w:val="single" w:color="000000" w:sz="4" w:space="0"/>
              <w:right w:val="single" w:color="auto" w:sz="4" w:space="0"/>
            </w:tcBorders>
            <w:vAlign w:val="center"/>
          </w:tcPr>
          <w:p w14:paraId="29A0789E">
            <w:pPr>
              <w:widowControl/>
              <w:jc w:val="left"/>
              <w:rPr>
                <w:rFonts w:ascii="宋体" w:hAnsi="宋体" w:cs="宋体"/>
                <w:color w:val="000000"/>
                <w:kern w:val="0"/>
                <w:sz w:val="13"/>
                <w:szCs w:val="13"/>
              </w:rPr>
            </w:pPr>
          </w:p>
        </w:tc>
        <w:tc>
          <w:tcPr>
            <w:tcW w:w="3462" w:type="pct"/>
            <w:tcBorders>
              <w:top w:val="nil"/>
              <w:left w:val="nil"/>
              <w:bottom w:val="single" w:color="auto" w:sz="4" w:space="0"/>
              <w:right w:val="single" w:color="auto" w:sz="8" w:space="0"/>
            </w:tcBorders>
            <w:shd w:val="clear" w:color="auto" w:fill="auto"/>
          </w:tcPr>
          <w:p w14:paraId="1C8B9AB3">
            <w:pPr>
              <w:widowControl/>
              <w:jc w:val="left"/>
              <w:rPr>
                <w:rFonts w:ascii="宋体" w:hAnsi="宋体" w:cs="宋体"/>
                <w:color w:val="000000"/>
                <w:kern w:val="0"/>
                <w:sz w:val="13"/>
                <w:szCs w:val="13"/>
              </w:rPr>
            </w:pPr>
            <w:r>
              <w:rPr>
                <w:rFonts w:hint="eastAsia" w:ascii="宋体" w:hAnsi="宋体" w:cs="宋体"/>
                <w:color w:val="000000"/>
                <w:kern w:val="0"/>
                <w:sz w:val="13"/>
                <w:szCs w:val="13"/>
              </w:rPr>
              <w:t>（1）资产评估机构及其资产评估专业人员评价年度内受到中评协或省评协公开谴责或除名惩戒的减15分；（2）资产评估机构受到其他种类惩戒的减7.5分；（3）资产评估专业人员受到其他种类惩戒的每人次减3分，扣完为止。</w:t>
            </w:r>
          </w:p>
        </w:tc>
      </w:tr>
      <w:tr w14:paraId="20AAFDB7">
        <w:tblPrEx>
          <w:tblCellMar>
            <w:top w:w="0" w:type="dxa"/>
            <w:left w:w="108" w:type="dxa"/>
            <w:bottom w:w="0" w:type="dxa"/>
            <w:right w:w="108" w:type="dxa"/>
          </w:tblCellMar>
        </w:tblPrEx>
        <w:trPr>
          <w:trHeight w:val="765" w:hRule="atLeast"/>
        </w:trPr>
        <w:tc>
          <w:tcPr>
            <w:tcW w:w="201" w:type="pct"/>
            <w:vMerge w:val="restart"/>
            <w:tcBorders>
              <w:top w:val="nil"/>
              <w:left w:val="single" w:color="auto" w:sz="8" w:space="0"/>
              <w:bottom w:val="single" w:color="000000" w:sz="8" w:space="0"/>
              <w:right w:val="single" w:color="auto" w:sz="4" w:space="0"/>
            </w:tcBorders>
            <w:shd w:val="clear" w:color="auto" w:fill="auto"/>
            <w:noWrap/>
            <w:vAlign w:val="center"/>
          </w:tcPr>
          <w:p w14:paraId="23D704C1">
            <w:pPr>
              <w:widowControl/>
              <w:jc w:val="center"/>
              <w:rPr>
                <w:rFonts w:ascii="宋体" w:hAnsi="宋体" w:cs="宋体"/>
                <w:color w:val="000000"/>
                <w:kern w:val="0"/>
                <w:sz w:val="13"/>
                <w:szCs w:val="13"/>
              </w:rPr>
            </w:pPr>
            <w:r>
              <w:rPr>
                <w:rFonts w:hint="eastAsia" w:ascii="宋体" w:hAnsi="宋体" w:cs="宋体"/>
                <w:color w:val="000000"/>
                <w:kern w:val="0"/>
                <w:sz w:val="13"/>
                <w:szCs w:val="13"/>
              </w:rPr>
              <w:t>5</w:t>
            </w:r>
          </w:p>
        </w:tc>
        <w:tc>
          <w:tcPr>
            <w:tcW w:w="447" w:type="pct"/>
            <w:vMerge w:val="restart"/>
            <w:tcBorders>
              <w:top w:val="nil"/>
              <w:left w:val="single" w:color="auto" w:sz="4" w:space="0"/>
              <w:bottom w:val="single" w:color="000000" w:sz="8" w:space="0"/>
              <w:right w:val="single" w:color="auto" w:sz="4" w:space="0"/>
            </w:tcBorders>
            <w:shd w:val="clear" w:color="auto" w:fill="auto"/>
            <w:noWrap/>
            <w:vAlign w:val="center"/>
          </w:tcPr>
          <w:p w14:paraId="11FF4D9E">
            <w:pPr>
              <w:widowControl/>
              <w:jc w:val="center"/>
              <w:rPr>
                <w:rFonts w:ascii="宋体" w:hAnsi="宋体" w:cs="宋体"/>
                <w:color w:val="000000"/>
                <w:kern w:val="0"/>
                <w:sz w:val="13"/>
                <w:szCs w:val="13"/>
              </w:rPr>
            </w:pPr>
            <w:r>
              <w:rPr>
                <w:rFonts w:hint="eastAsia" w:ascii="宋体" w:hAnsi="宋体" w:cs="宋体"/>
                <w:color w:val="000000"/>
                <w:kern w:val="0"/>
                <w:sz w:val="13"/>
                <w:szCs w:val="13"/>
              </w:rPr>
              <w:t>社会及行业贡献</w:t>
            </w:r>
          </w:p>
        </w:tc>
        <w:tc>
          <w:tcPr>
            <w:tcW w:w="190" w:type="pct"/>
            <w:vMerge w:val="restart"/>
            <w:tcBorders>
              <w:top w:val="nil"/>
              <w:left w:val="single" w:color="auto" w:sz="4" w:space="0"/>
              <w:bottom w:val="single" w:color="000000" w:sz="8" w:space="0"/>
              <w:right w:val="single" w:color="auto" w:sz="4" w:space="0"/>
            </w:tcBorders>
            <w:shd w:val="clear" w:color="auto" w:fill="auto"/>
            <w:noWrap/>
            <w:vAlign w:val="center"/>
          </w:tcPr>
          <w:p w14:paraId="315FEECA">
            <w:pPr>
              <w:widowControl/>
              <w:jc w:val="center"/>
              <w:rPr>
                <w:rFonts w:ascii="宋体" w:hAnsi="宋体" w:cs="宋体"/>
                <w:color w:val="000000"/>
                <w:kern w:val="0"/>
                <w:sz w:val="13"/>
                <w:szCs w:val="13"/>
              </w:rPr>
            </w:pPr>
            <w:r>
              <w:rPr>
                <w:rFonts w:hint="eastAsia" w:ascii="宋体" w:hAnsi="宋体" w:cs="宋体"/>
                <w:color w:val="000000"/>
                <w:kern w:val="0"/>
                <w:sz w:val="13"/>
                <w:szCs w:val="13"/>
              </w:rPr>
              <w:t>12%</w:t>
            </w:r>
          </w:p>
        </w:tc>
        <w:tc>
          <w:tcPr>
            <w:tcW w:w="500" w:type="pct"/>
            <w:tcBorders>
              <w:top w:val="nil"/>
              <w:left w:val="nil"/>
              <w:bottom w:val="single" w:color="auto" w:sz="4" w:space="0"/>
              <w:right w:val="single" w:color="auto" w:sz="4" w:space="0"/>
            </w:tcBorders>
            <w:shd w:val="clear" w:color="auto" w:fill="auto"/>
            <w:noWrap/>
            <w:vAlign w:val="center"/>
          </w:tcPr>
          <w:p w14:paraId="38FFDA1B">
            <w:pPr>
              <w:widowControl/>
              <w:jc w:val="center"/>
              <w:rPr>
                <w:rFonts w:ascii="宋体" w:hAnsi="宋体" w:cs="宋体"/>
                <w:color w:val="000000"/>
                <w:kern w:val="0"/>
                <w:sz w:val="13"/>
                <w:szCs w:val="13"/>
              </w:rPr>
            </w:pPr>
            <w:r>
              <w:rPr>
                <w:rFonts w:hint="eastAsia" w:ascii="宋体" w:hAnsi="宋体" w:cs="宋体"/>
                <w:color w:val="000000"/>
                <w:kern w:val="0"/>
                <w:sz w:val="13"/>
                <w:szCs w:val="13"/>
              </w:rPr>
              <w:t>社会任职及荣誉</w:t>
            </w:r>
          </w:p>
        </w:tc>
        <w:tc>
          <w:tcPr>
            <w:tcW w:w="200" w:type="pct"/>
            <w:tcBorders>
              <w:top w:val="nil"/>
              <w:left w:val="nil"/>
              <w:bottom w:val="single" w:color="auto" w:sz="4" w:space="0"/>
              <w:right w:val="single" w:color="auto" w:sz="4" w:space="0"/>
            </w:tcBorders>
            <w:shd w:val="clear" w:color="auto" w:fill="auto"/>
            <w:noWrap/>
            <w:vAlign w:val="center"/>
          </w:tcPr>
          <w:p w14:paraId="008959AF">
            <w:pPr>
              <w:widowControl/>
              <w:jc w:val="center"/>
              <w:rPr>
                <w:rFonts w:ascii="宋体" w:hAnsi="宋体" w:cs="宋体"/>
                <w:color w:val="000000"/>
                <w:kern w:val="0"/>
                <w:sz w:val="13"/>
                <w:szCs w:val="13"/>
              </w:rPr>
            </w:pPr>
            <w:r>
              <w:rPr>
                <w:rFonts w:hint="eastAsia" w:ascii="宋体" w:hAnsi="宋体" w:cs="宋体"/>
                <w:color w:val="000000"/>
                <w:kern w:val="0"/>
                <w:sz w:val="13"/>
                <w:szCs w:val="13"/>
              </w:rPr>
              <w:t>3</w:t>
            </w:r>
          </w:p>
        </w:tc>
        <w:tc>
          <w:tcPr>
            <w:tcW w:w="3462" w:type="pct"/>
            <w:tcBorders>
              <w:top w:val="nil"/>
              <w:left w:val="nil"/>
              <w:bottom w:val="nil"/>
              <w:right w:val="single" w:color="auto" w:sz="8" w:space="0"/>
            </w:tcBorders>
            <w:shd w:val="clear" w:color="auto" w:fill="auto"/>
          </w:tcPr>
          <w:p w14:paraId="1DF08778">
            <w:pPr>
              <w:widowControl/>
              <w:jc w:val="left"/>
              <w:rPr>
                <w:rFonts w:ascii="宋体" w:hAnsi="宋体" w:cs="宋体"/>
                <w:color w:val="000000"/>
                <w:kern w:val="0"/>
                <w:sz w:val="13"/>
                <w:szCs w:val="13"/>
              </w:rPr>
            </w:pPr>
            <w:r>
              <w:rPr>
                <w:rFonts w:hint="eastAsia" w:ascii="宋体" w:hAnsi="宋体" w:cs="宋体"/>
                <w:color w:val="000000"/>
                <w:kern w:val="0"/>
                <w:sz w:val="13"/>
                <w:szCs w:val="13"/>
              </w:rPr>
              <w:t>（1）担任市级以上党代会代表、人大代表、政协委员、中评协理事、监事会成员或专门委员会的得2分；（2）担任县级人大代表、政协委员、省评协理事、监事会成员、专门委员会委员的得1分；（3）获得政府有关部门或行业其他荣誉称号，如资深会员、领军人才、金牌会员、专业新锐人才、高端人才的最高得1分；(4)无正当理由未参加相关活动的不得分。(累计最高3分)</w:t>
            </w:r>
          </w:p>
        </w:tc>
      </w:tr>
      <w:tr w14:paraId="7AE131C1">
        <w:tblPrEx>
          <w:tblCellMar>
            <w:top w:w="0" w:type="dxa"/>
            <w:left w:w="108" w:type="dxa"/>
            <w:bottom w:w="0" w:type="dxa"/>
            <w:right w:w="108" w:type="dxa"/>
          </w:tblCellMar>
        </w:tblPrEx>
        <w:trPr>
          <w:trHeight w:val="306" w:hRule="atLeast"/>
        </w:trPr>
        <w:tc>
          <w:tcPr>
            <w:tcW w:w="201" w:type="pct"/>
            <w:vMerge w:val="continue"/>
            <w:tcBorders>
              <w:top w:val="nil"/>
              <w:left w:val="single" w:color="auto" w:sz="8" w:space="0"/>
              <w:bottom w:val="single" w:color="000000" w:sz="8" w:space="0"/>
              <w:right w:val="single" w:color="auto" w:sz="4" w:space="0"/>
            </w:tcBorders>
            <w:vAlign w:val="center"/>
          </w:tcPr>
          <w:p w14:paraId="6C815101">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000000" w:sz="8" w:space="0"/>
              <w:right w:val="single" w:color="auto" w:sz="4" w:space="0"/>
            </w:tcBorders>
            <w:vAlign w:val="center"/>
          </w:tcPr>
          <w:p w14:paraId="3AF3AC16">
            <w:pPr>
              <w:widowControl/>
              <w:jc w:val="left"/>
              <w:rPr>
                <w:rFonts w:ascii="宋体" w:hAnsi="宋体" w:cs="宋体"/>
                <w:color w:val="000000"/>
                <w:kern w:val="0"/>
                <w:sz w:val="13"/>
                <w:szCs w:val="13"/>
              </w:rPr>
            </w:pPr>
          </w:p>
        </w:tc>
        <w:tc>
          <w:tcPr>
            <w:tcW w:w="190" w:type="pct"/>
            <w:vMerge w:val="continue"/>
            <w:tcBorders>
              <w:top w:val="nil"/>
              <w:left w:val="single" w:color="auto" w:sz="4" w:space="0"/>
              <w:bottom w:val="single" w:color="000000" w:sz="8" w:space="0"/>
              <w:right w:val="single" w:color="auto" w:sz="4" w:space="0"/>
            </w:tcBorders>
            <w:vAlign w:val="center"/>
          </w:tcPr>
          <w:p w14:paraId="329947A0">
            <w:pPr>
              <w:widowControl/>
              <w:jc w:val="left"/>
              <w:rPr>
                <w:rFonts w:ascii="宋体" w:hAnsi="宋体" w:cs="宋体"/>
                <w:color w:val="000000"/>
                <w:kern w:val="0"/>
                <w:sz w:val="13"/>
                <w:szCs w:val="13"/>
              </w:rPr>
            </w:pPr>
          </w:p>
        </w:tc>
        <w:tc>
          <w:tcPr>
            <w:tcW w:w="500" w:type="pct"/>
            <w:tcBorders>
              <w:top w:val="nil"/>
              <w:left w:val="nil"/>
              <w:bottom w:val="single" w:color="auto" w:sz="4" w:space="0"/>
              <w:right w:val="single" w:color="auto" w:sz="4" w:space="0"/>
            </w:tcBorders>
            <w:shd w:val="clear" w:color="auto" w:fill="auto"/>
            <w:noWrap/>
            <w:vAlign w:val="center"/>
          </w:tcPr>
          <w:p w14:paraId="0DC4D4EC">
            <w:pPr>
              <w:widowControl/>
              <w:jc w:val="center"/>
              <w:rPr>
                <w:rFonts w:ascii="宋体" w:hAnsi="宋体" w:cs="宋体"/>
                <w:color w:val="000000"/>
                <w:kern w:val="0"/>
                <w:sz w:val="13"/>
                <w:szCs w:val="13"/>
              </w:rPr>
            </w:pPr>
            <w:r>
              <w:rPr>
                <w:rFonts w:hint="eastAsia" w:ascii="宋体" w:hAnsi="宋体" w:cs="宋体"/>
                <w:color w:val="000000"/>
                <w:kern w:val="0"/>
                <w:sz w:val="13"/>
                <w:szCs w:val="13"/>
              </w:rPr>
              <w:t>检查或核查</w:t>
            </w:r>
          </w:p>
        </w:tc>
        <w:tc>
          <w:tcPr>
            <w:tcW w:w="200" w:type="pct"/>
            <w:tcBorders>
              <w:top w:val="nil"/>
              <w:left w:val="nil"/>
              <w:bottom w:val="single" w:color="auto" w:sz="4" w:space="0"/>
              <w:right w:val="single" w:color="auto" w:sz="4" w:space="0"/>
            </w:tcBorders>
            <w:shd w:val="clear" w:color="auto" w:fill="auto"/>
            <w:noWrap/>
            <w:vAlign w:val="center"/>
          </w:tcPr>
          <w:p w14:paraId="36B01AB0">
            <w:pPr>
              <w:widowControl/>
              <w:jc w:val="center"/>
              <w:rPr>
                <w:rFonts w:ascii="宋体" w:hAnsi="宋体" w:cs="宋体"/>
                <w:color w:val="000000"/>
                <w:kern w:val="0"/>
                <w:sz w:val="13"/>
                <w:szCs w:val="13"/>
              </w:rPr>
            </w:pPr>
            <w:r>
              <w:rPr>
                <w:rFonts w:hint="eastAsia" w:ascii="宋体" w:hAnsi="宋体" w:cs="宋体"/>
                <w:color w:val="000000"/>
                <w:kern w:val="0"/>
                <w:sz w:val="13"/>
                <w:szCs w:val="13"/>
              </w:rPr>
              <w:t>3</w:t>
            </w:r>
          </w:p>
        </w:tc>
        <w:tc>
          <w:tcPr>
            <w:tcW w:w="3462" w:type="pct"/>
            <w:tcBorders>
              <w:top w:val="single" w:color="auto" w:sz="4" w:space="0"/>
              <w:left w:val="nil"/>
              <w:bottom w:val="nil"/>
              <w:right w:val="single" w:color="auto" w:sz="8" w:space="0"/>
            </w:tcBorders>
            <w:shd w:val="clear" w:color="auto" w:fill="auto"/>
          </w:tcPr>
          <w:p w14:paraId="303B4E77">
            <w:pPr>
              <w:widowControl/>
              <w:jc w:val="left"/>
              <w:rPr>
                <w:rFonts w:ascii="宋体" w:hAnsi="宋体" w:cs="宋体"/>
                <w:color w:val="000000"/>
                <w:kern w:val="0"/>
                <w:sz w:val="13"/>
                <w:szCs w:val="13"/>
              </w:rPr>
            </w:pPr>
            <w:r>
              <w:rPr>
                <w:rFonts w:hint="eastAsia" w:ascii="宋体" w:hAnsi="宋体" w:cs="宋体"/>
                <w:color w:val="000000"/>
                <w:kern w:val="0"/>
                <w:sz w:val="13"/>
                <w:szCs w:val="13"/>
              </w:rPr>
              <w:t>参加财政部门、中评协、省评协组织的执业质量检查或专项核查工作，每选派1名资产评估师得2.5分；每选派1名其他从业人员得0.5分。(累计最高3分)</w:t>
            </w:r>
          </w:p>
        </w:tc>
      </w:tr>
      <w:tr w14:paraId="28252014">
        <w:tblPrEx>
          <w:tblCellMar>
            <w:top w:w="0" w:type="dxa"/>
            <w:left w:w="108" w:type="dxa"/>
            <w:bottom w:w="0" w:type="dxa"/>
            <w:right w:w="108" w:type="dxa"/>
          </w:tblCellMar>
        </w:tblPrEx>
        <w:trPr>
          <w:trHeight w:val="315" w:hRule="atLeast"/>
        </w:trPr>
        <w:tc>
          <w:tcPr>
            <w:tcW w:w="201" w:type="pct"/>
            <w:vMerge w:val="continue"/>
            <w:tcBorders>
              <w:top w:val="nil"/>
              <w:left w:val="single" w:color="auto" w:sz="8" w:space="0"/>
              <w:bottom w:val="single" w:color="000000" w:sz="8" w:space="0"/>
              <w:right w:val="single" w:color="auto" w:sz="4" w:space="0"/>
            </w:tcBorders>
            <w:vAlign w:val="center"/>
          </w:tcPr>
          <w:p w14:paraId="041D8DBF">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000000" w:sz="8" w:space="0"/>
              <w:right w:val="single" w:color="auto" w:sz="4" w:space="0"/>
            </w:tcBorders>
            <w:vAlign w:val="center"/>
          </w:tcPr>
          <w:p w14:paraId="1A144AF3">
            <w:pPr>
              <w:widowControl/>
              <w:jc w:val="left"/>
              <w:rPr>
                <w:rFonts w:ascii="宋体" w:hAnsi="宋体" w:cs="宋体"/>
                <w:color w:val="000000"/>
                <w:kern w:val="0"/>
                <w:sz w:val="13"/>
                <w:szCs w:val="13"/>
              </w:rPr>
            </w:pPr>
          </w:p>
        </w:tc>
        <w:tc>
          <w:tcPr>
            <w:tcW w:w="190" w:type="pct"/>
            <w:vMerge w:val="continue"/>
            <w:tcBorders>
              <w:top w:val="nil"/>
              <w:left w:val="single" w:color="auto" w:sz="4" w:space="0"/>
              <w:bottom w:val="single" w:color="000000" w:sz="8" w:space="0"/>
              <w:right w:val="single" w:color="auto" w:sz="4" w:space="0"/>
            </w:tcBorders>
            <w:vAlign w:val="center"/>
          </w:tcPr>
          <w:p w14:paraId="267616F0">
            <w:pPr>
              <w:widowControl/>
              <w:jc w:val="left"/>
              <w:rPr>
                <w:rFonts w:ascii="宋体" w:hAnsi="宋体" w:cs="宋体"/>
                <w:color w:val="000000"/>
                <w:kern w:val="0"/>
                <w:sz w:val="13"/>
                <w:szCs w:val="13"/>
              </w:rPr>
            </w:pPr>
          </w:p>
        </w:tc>
        <w:tc>
          <w:tcPr>
            <w:tcW w:w="500" w:type="pct"/>
            <w:tcBorders>
              <w:top w:val="nil"/>
              <w:left w:val="nil"/>
              <w:bottom w:val="single" w:color="auto" w:sz="4" w:space="0"/>
              <w:right w:val="single" w:color="auto" w:sz="4" w:space="0"/>
            </w:tcBorders>
            <w:shd w:val="clear" w:color="auto" w:fill="auto"/>
            <w:noWrap/>
            <w:vAlign w:val="center"/>
          </w:tcPr>
          <w:p w14:paraId="5315B422">
            <w:pPr>
              <w:widowControl/>
              <w:jc w:val="center"/>
              <w:rPr>
                <w:rFonts w:ascii="宋体" w:hAnsi="宋体" w:cs="宋体"/>
                <w:color w:val="000000"/>
                <w:kern w:val="0"/>
                <w:sz w:val="13"/>
                <w:szCs w:val="13"/>
              </w:rPr>
            </w:pPr>
            <w:r>
              <w:rPr>
                <w:rFonts w:hint="eastAsia" w:ascii="宋体" w:hAnsi="宋体" w:cs="宋体"/>
                <w:color w:val="000000"/>
                <w:kern w:val="0"/>
                <w:sz w:val="13"/>
                <w:szCs w:val="13"/>
              </w:rPr>
              <w:t>培训或评审</w:t>
            </w:r>
          </w:p>
        </w:tc>
        <w:tc>
          <w:tcPr>
            <w:tcW w:w="200" w:type="pct"/>
            <w:tcBorders>
              <w:top w:val="nil"/>
              <w:left w:val="nil"/>
              <w:bottom w:val="single" w:color="auto" w:sz="4" w:space="0"/>
              <w:right w:val="single" w:color="auto" w:sz="4" w:space="0"/>
            </w:tcBorders>
            <w:shd w:val="clear" w:color="auto" w:fill="auto"/>
            <w:noWrap/>
            <w:vAlign w:val="center"/>
          </w:tcPr>
          <w:p w14:paraId="48D2A90D">
            <w:pPr>
              <w:widowControl/>
              <w:jc w:val="center"/>
              <w:rPr>
                <w:rFonts w:ascii="宋体" w:hAnsi="宋体" w:cs="宋体"/>
                <w:color w:val="000000"/>
                <w:kern w:val="0"/>
                <w:sz w:val="13"/>
                <w:szCs w:val="13"/>
              </w:rPr>
            </w:pPr>
            <w:r>
              <w:rPr>
                <w:rFonts w:hint="eastAsia" w:ascii="宋体" w:hAnsi="宋体" w:cs="宋体"/>
                <w:color w:val="000000"/>
                <w:kern w:val="0"/>
                <w:sz w:val="13"/>
                <w:szCs w:val="13"/>
              </w:rPr>
              <w:t>3</w:t>
            </w:r>
          </w:p>
        </w:tc>
        <w:tc>
          <w:tcPr>
            <w:tcW w:w="3462" w:type="pct"/>
            <w:tcBorders>
              <w:top w:val="single" w:color="auto" w:sz="4" w:space="0"/>
              <w:left w:val="nil"/>
              <w:bottom w:val="single" w:color="auto" w:sz="4" w:space="0"/>
              <w:right w:val="single" w:color="auto" w:sz="8" w:space="0"/>
            </w:tcBorders>
            <w:shd w:val="clear" w:color="auto" w:fill="auto"/>
          </w:tcPr>
          <w:p w14:paraId="62875BA3">
            <w:pPr>
              <w:widowControl/>
              <w:jc w:val="left"/>
              <w:rPr>
                <w:rFonts w:ascii="宋体" w:hAnsi="宋体" w:cs="宋体"/>
                <w:color w:val="000000"/>
                <w:kern w:val="0"/>
                <w:sz w:val="13"/>
                <w:szCs w:val="13"/>
              </w:rPr>
            </w:pPr>
            <w:r>
              <w:rPr>
                <w:rFonts w:hint="eastAsia" w:ascii="宋体" w:hAnsi="宋体" w:cs="宋体"/>
                <w:color w:val="000000"/>
                <w:kern w:val="0"/>
                <w:sz w:val="13"/>
                <w:szCs w:val="13"/>
              </w:rPr>
              <w:t>参与中评协或省评协继续教育培训、行业青年人才培养基地授课、业务辅导授课或省级行政部门专家论证评审工作的得3分。(累计最高3分)</w:t>
            </w:r>
          </w:p>
        </w:tc>
      </w:tr>
      <w:tr w14:paraId="6508261E">
        <w:tblPrEx>
          <w:tblCellMar>
            <w:top w:w="0" w:type="dxa"/>
            <w:left w:w="108" w:type="dxa"/>
            <w:bottom w:w="0" w:type="dxa"/>
            <w:right w:w="108" w:type="dxa"/>
          </w:tblCellMar>
        </w:tblPrEx>
        <w:trPr>
          <w:trHeight w:val="264" w:hRule="atLeast"/>
        </w:trPr>
        <w:tc>
          <w:tcPr>
            <w:tcW w:w="201" w:type="pct"/>
            <w:vMerge w:val="continue"/>
            <w:tcBorders>
              <w:top w:val="nil"/>
              <w:left w:val="single" w:color="auto" w:sz="8" w:space="0"/>
              <w:bottom w:val="single" w:color="000000" w:sz="8" w:space="0"/>
              <w:right w:val="single" w:color="auto" w:sz="4" w:space="0"/>
            </w:tcBorders>
            <w:vAlign w:val="center"/>
          </w:tcPr>
          <w:p w14:paraId="6F242CC8">
            <w:pPr>
              <w:widowControl/>
              <w:jc w:val="left"/>
              <w:rPr>
                <w:rFonts w:ascii="宋体" w:hAnsi="宋体" w:cs="宋体"/>
                <w:color w:val="000000"/>
                <w:kern w:val="0"/>
                <w:sz w:val="13"/>
                <w:szCs w:val="13"/>
              </w:rPr>
            </w:pPr>
          </w:p>
        </w:tc>
        <w:tc>
          <w:tcPr>
            <w:tcW w:w="447" w:type="pct"/>
            <w:vMerge w:val="continue"/>
            <w:tcBorders>
              <w:top w:val="nil"/>
              <w:left w:val="single" w:color="auto" w:sz="4" w:space="0"/>
              <w:bottom w:val="single" w:color="000000" w:sz="8" w:space="0"/>
              <w:right w:val="single" w:color="auto" w:sz="4" w:space="0"/>
            </w:tcBorders>
            <w:vAlign w:val="center"/>
          </w:tcPr>
          <w:p w14:paraId="76FE8982">
            <w:pPr>
              <w:widowControl/>
              <w:jc w:val="left"/>
              <w:rPr>
                <w:rFonts w:ascii="宋体" w:hAnsi="宋体" w:cs="宋体"/>
                <w:color w:val="000000"/>
                <w:kern w:val="0"/>
                <w:sz w:val="13"/>
                <w:szCs w:val="13"/>
              </w:rPr>
            </w:pPr>
          </w:p>
        </w:tc>
        <w:tc>
          <w:tcPr>
            <w:tcW w:w="190" w:type="pct"/>
            <w:vMerge w:val="continue"/>
            <w:tcBorders>
              <w:top w:val="nil"/>
              <w:left w:val="single" w:color="auto" w:sz="4" w:space="0"/>
              <w:bottom w:val="single" w:color="000000" w:sz="8" w:space="0"/>
              <w:right w:val="single" w:color="auto" w:sz="4" w:space="0"/>
            </w:tcBorders>
            <w:vAlign w:val="center"/>
          </w:tcPr>
          <w:p w14:paraId="0B74D0EA">
            <w:pPr>
              <w:widowControl/>
              <w:jc w:val="left"/>
              <w:rPr>
                <w:rFonts w:ascii="宋体" w:hAnsi="宋体" w:cs="宋体"/>
                <w:color w:val="000000"/>
                <w:kern w:val="0"/>
                <w:sz w:val="13"/>
                <w:szCs w:val="13"/>
              </w:rPr>
            </w:pPr>
          </w:p>
        </w:tc>
        <w:tc>
          <w:tcPr>
            <w:tcW w:w="500" w:type="pct"/>
            <w:tcBorders>
              <w:top w:val="nil"/>
              <w:left w:val="nil"/>
              <w:bottom w:val="single" w:color="auto" w:sz="8" w:space="0"/>
              <w:right w:val="single" w:color="auto" w:sz="4" w:space="0"/>
            </w:tcBorders>
            <w:shd w:val="clear" w:color="auto" w:fill="auto"/>
            <w:noWrap/>
            <w:vAlign w:val="center"/>
          </w:tcPr>
          <w:p w14:paraId="43471DEA">
            <w:pPr>
              <w:widowControl/>
              <w:jc w:val="center"/>
              <w:rPr>
                <w:rFonts w:ascii="宋体" w:hAnsi="宋体" w:cs="宋体"/>
                <w:color w:val="000000"/>
                <w:kern w:val="0"/>
                <w:sz w:val="13"/>
                <w:szCs w:val="13"/>
              </w:rPr>
            </w:pPr>
            <w:r>
              <w:rPr>
                <w:rFonts w:hint="eastAsia" w:ascii="宋体" w:hAnsi="宋体" w:cs="宋体"/>
                <w:color w:val="000000"/>
                <w:kern w:val="0"/>
                <w:sz w:val="13"/>
                <w:szCs w:val="13"/>
              </w:rPr>
              <w:t>其 他</w:t>
            </w:r>
          </w:p>
        </w:tc>
        <w:tc>
          <w:tcPr>
            <w:tcW w:w="200" w:type="pct"/>
            <w:tcBorders>
              <w:top w:val="nil"/>
              <w:left w:val="nil"/>
              <w:bottom w:val="single" w:color="auto" w:sz="8" w:space="0"/>
              <w:right w:val="single" w:color="auto" w:sz="4" w:space="0"/>
            </w:tcBorders>
            <w:shd w:val="clear" w:color="auto" w:fill="auto"/>
            <w:noWrap/>
            <w:vAlign w:val="center"/>
          </w:tcPr>
          <w:p w14:paraId="4E5CCFC5">
            <w:pPr>
              <w:widowControl/>
              <w:jc w:val="center"/>
              <w:rPr>
                <w:rFonts w:ascii="宋体" w:hAnsi="宋体" w:cs="宋体"/>
                <w:color w:val="000000"/>
                <w:kern w:val="0"/>
                <w:sz w:val="13"/>
                <w:szCs w:val="13"/>
              </w:rPr>
            </w:pPr>
            <w:r>
              <w:rPr>
                <w:rFonts w:hint="eastAsia" w:ascii="宋体" w:hAnsi="宋体" w:cs="宋体"/>
                <w:color w:val="000000"/>
                <w:kern w:val="0"/>
                <w:sz w:val="13"/>
                <w:szCs w:val="13"/>
              </w:rPr>
              <w:t>3</w:t>
            </w:r>
          </w:p>
        </w:tc>
        <w:tc>
          <w:tcPr>
            <w:tcW w:w="3462" w:type="pct"/>
            <w:tcBorders>
              <w:top w:val="nil"/>
              <w:left w:val="nil"/>
              <w:bottom w:val="single" w:color="auto" w:sz="8" w:space="0"/>
              <w:right w:val="single" w:color="auto" w:sz="8" w:space="0"/>
            </w:tcBorders>
            <w:shd w:val="clear" w:color="auto" w:fill="auto"/>
          </w:tcPr>
          <w:p w14:paraId="2EDF9D19">
            <w:pPr>
              <w:widowControl/>
              <w:jc w:val="left"/>
              <w:rPr>
                <w:rFonts w:ascii="宋体" w:hAnsi="宋体" w:cs="宋体"/>
                <w:color w:val="000000"/>
                <w:kern w:val="0"/>
                <w:sz w:val="13"/>
                <w:szCs w:val="13"/>
              </w:rPr>
            </w:pPr>
            <w:r>
              <w:rPr>
                <w:rFonts w:hint="eastAsia" w:ascii="宋体" w:hAnsi="宋体" w:cs="宋体"/>
                <w:color w:val="000000"/>
                <w:kern w:val="0"/>
                <w:sz w:val="13"/>
                <w:szCs w:val="13"/>
              </w:rPr>
              <w:t>（1）完成省部级、中评协研究课题或在中国核心期刊上发表与资产评估专业相关的专业论文的得1分；（2）在其他合法期刊或《山西会计与资产评估》内刊上发表与资产评估专业相关的专业论文或在省评协网站发表新闻稿的得0.5分；（3）参加财政部门、中评协或省评协组织的其他专业活动的得1分；（4）参加社会公益活动的得0.5分。</w:t>
            </w:r>
          </w:p>
        </w:tc>
      </w:tr>
    </w:tbl>
    <w:p w14:paraId="2BC3E7A6">
      <w:pPr>
        <w:spacing w:line="360" w:lineRule="auto"/>
        <w:rPr>
          <w:rFonts w:ascii="黑体" w:hAnsi="黑体" w:eastAsia="黑体" w:cs="黑体"/>
          <w:sz w:val="32"/>
          <w:szCs w:val="32"/>
        </w:rPr>
        <w:sectPr>
          <w:pgSz w:w="16838" w:h="11906" w:orient="landscape"/>
          <w:pgMar w:top="1800" w:right="1440" w:bottom="1800" w:left="1440" w:header="851" w:footer="1418" w:gutter="0"/>
          <w:cols w:space="720" w:num="1"/>
          <w:docGrid w:type="linesAndChars" w:linePitch="312" w:charSpace="0"/>
        </w:sectPr>
      </w:pPr>
    </w:p>
    <w:p w14:paraId="6ED0F001">
      <w:pPr>
        <w:spacing w:line="360" w:lineRule="auto"/>
        <w:rPr>
          <w:rFonts w:ascii="黑体" w:hAnsi="黑体" w:eastAsia="黑体" w:cs="黑体"/>
          <w:sz w:val="32"/>
          <w:szCs w:val="32"/>
        </w:rPr>
        <w:sectPr>
          <w:footerReference r:id="rId4" w:type="default"/>
          <w:pgSz w:w="16838" w:h="11906" w:orient="landscape"/>
          <w:pgMar w:top="1800" w:right="1440" w:bottom="1800" w:left="1440" w:header="851" w:footer="1418" w:gutter="0"/>
          <w:cols w:space="720" w:num="1"/>
          <w:docGrid w:type="linesAndChars" w:linePitch="312" w:charSpace="0"/>
        </w:sectPr>
      </w:pPr>
      <w:bookmarkStart w:id="2" w:name="_GoBack"/>
      <w:bookmarkEnd w:id="2"/>
    </w:p>
    <w:p w14:paraId="6E10107B">
      <w:pPr>
        <w:spacing w:line="360" w:lineRule="auto"/>
        <w:rPr>
          <w:rFonts w:ascii="黑体" w:hAnsi="黑体" w:eastAsia="黑体" w:cs="黑体"/>
          <w:sz w:val="32"/>
          <w:szCs w:val="32"/>
        </w:rPr>
      </w:pPr>
    </w:p>
    <w:p w14:paraId="4B78D153">
      <w:pPr>
        <w:spacing w:line="360" w:lineRule="auto"/>
        <w:rPr>
          <w:rFonts w:ascii="黑体" w:hAnsi="黑体" w:eastAsia="黑体" w:cs="黑体"/>
          <w:sz w:val="32"/>
          <w:szCs w:val="32"/>
        </w:rPr>
      </w:pPr>
    </w:p>
    <w:p w14:paraId="0CB3A6F9">
      <w:pPr>
        <w:spacing w:line="360" w:lineRule="auto"/>
        <w:rPr>
          <w:rFonts w:ascii="黑体" w:hAnsi="黑体" w:eastAsia="黑体" w:cs="黑体"/>
          <w:sz w:val="32"/>
          <w:szCs w:val="32"/>
        </w:rPr>
      </w:pPr>
    </w:p>
    <w:p w14:paraId="2E75ABE4">
      <w:pPr>
        <w:spacing w:line="360" w:lineRule="auto"/>
        <w:rPr>
          <w:rFonts w:ascii="黑体" w:hAnsi="黑体" w:eastAsia="黑体" w:cs="黑体"/>
          <w:sz w:val="32"/>
          <w:szCs w:val="32"/>
        </w:rPr>
      </w:pPr>
    </w:p>
    <w:p w14:paraId="65B97FC6">
      <w:pPr>
        <w:spacing w:line="360" w:lineRule="auto"/>
        <w:rPr>
          <w:rFonts w:ascii="黑体" w:hAnsi="黑体" w:eastAsia="黑体" w:cs="黑体"/>
          <w:sz w:val="32"/>
          <w:szCs w:val="32"/>
        </w:rPr>
      </w:pPr>
    </w:p>
    <w:p w14:paraId="26663B3F">
      <w:pPr>
        <w:spacing w:line="360" w:lineRule="auto"/>
        <w:rPr>
          <w:rFonts w:ascii="黑体" w:hAnsi="黑体" w:eastAsia="黑体" w:cs="黑体"/>
          <w:sz w:val="32"/>
          <w:szCs w:val="32"/>
        </w:rPr>
      </w:pPr>
    </w:p>
    <w:p w14:paraId="581E893C">
      <w:pPr>
        <w:spacing w:line="360" w:lineRule="auto"/>
        <w:rPr>
          <w:rFonts w:ascii="黑体" w:hAnsi="黑体" w:eastAsia="黑体" w:cs="黑体"/>
          <w:sz w:val="32"/>
          <w:szCs w:val="32"/>
        </w:rPr>
      </w:pPr>
    </w:p>
    <w:p w14:paraId="74051F6C">
      <w:pPr>
        <w:spacing w:line="360" w:lineRule="auto"/>
        <w:rPr>
          <w:rFonts w:ascii="黑体" w:hAnsi="黑体" w:eastAsia="黑体" w:cs="黑体"/>
          <w:sz w:val="32"/>
          <w:szCs w:val="32"/>
        </w:rPr>
      </w:pPr>
    </w:p>
    <w:p w14:paraId="61399734">
      <w:pPr>
        <w:spacing w:line="360" w:lineRule="auto"/>
        <w:rPr>
          <w:rFonts w:ascii="黑体" w:hAnsi="黑体" w:eastAsia="黑体" w:cs="黑体"/>
          <w:sz w:val="32"/>
          <w:szCs w:val="32"/>
        </w:rPr>
      </w:pPr>
    </w:p>
    <w:p w14:paraId="5E9D8E02">
      <w:pPr>
        <w:spacing w:line="360" w:lineRule="auto"/>
        <w:rPr>
          <w:rFonts w:ascii="黑体" w:hAnsi="黑体" w:eastAsia="黑体" w:cs="黑体"/>
          <w:sz w:val="32"/>
          <w:szCs w:val="32"/>
        </w:rPr>
      </w:pPr>
    </w:p>
    <w:p w14:paraId="33ACC9A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公文小标宋">
    <w:altName w:val="微软雅黑"/>
    <w:panose1 w:val="00000000000000000000"/>
    <w:charset w:val="86"/>
    <w:family w:val="auto"/>
    <w:pitch w:val="default"/>
    <w:sig w:usb0="00000000" w:usb1="00000000"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E370E">
    <w:pPr>
      <w:pStyle w:val="2"/>
      <w:ind w:firstLine="180" w:firstLineChars="100"/>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D9E801">
                          <w:pPr>
                            <w:pStyle w:val="2"/>
                            <w:adjustRightInd w:val="0"/>
                            <w:ind w:left="210" w:leftChars="100" w:right="210" w:rightChars="100"/>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5BD9E801">
                    <w:pPr>
                      <w:pStyle w:val="2"/>
                      <w:adjustRightInd w:val="0"/>
                      <w:ind w:left="210" w:leftChars="100" w:right="210" w:rightChars="100"/>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C7593">
    <w:pPr>
      <w:pStyle w:val="2"/>
      <w:ind w:firstLine="180" w:firstLineChars="10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397E34">
                          <w:pPr>
                            <w:pStyle w:val="2"/>
                            <w:adjustRightInd w:val="0"/>
                            <w:ind w:left="210" w:leftChars="100" w:right="210" w:rightChars="100"/>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41397E34">
                    <w:pPr>
                      <w:pStyle w:val="2"/>
                      <w:adjustRightInd w:val="0"/>
                      <w:ind w:left="210" w:leftChars="100" w:right="210" w:rightChars="100"/>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6C28A9"/>
    <w:rsid w:val="216C28A9"/>
    <w:rsid w:val="4FF3632E"/>
    <w:rsid w:val="6FDA59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3253</Words>
  <Characters>3356</Characters>
  <Lines>0</Lines>
  <Paragraphs>0</Paragraphs>
  <TotalTime>1</TotalTime>
  <ScaleCrop>false</ScaleCrop>
  <LinksUpToDate>false</LinksUpToDate>
  <CharactersWithSpaces>3382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2025-08-01T03:11:00Z</dcterms:created>
  <dc:creator>杨建丽</dc:creator>
  <cp:lastModifiedBy>杨建丽</cp:lastModifiedBy>
  <dcterms:modified xsi:type="dcterms:W3CDTF">2025-08-11T08:35:08Z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63847D95E5054181A30067567298050C_11</vt:lpwstr>
  </property>
  <property fmtid="{D5CDD505-2E9C-101B-9397-08002B2CF9AE}" pid="4" name="KSOTemplateDocerSaveRecord">
    <vt:lpwstr>eyJoZGlkIjoiNjYyYWFkYjNhZGE2NWQzNTVkNjg2Y2UzNjcxMDc3ZmUiLCJ1c2VySWQiOiI0Mjk1MDA4MzYifQ==</vt:lpwstr>
  </property>
</Properties>
</file>