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7E29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黑体" w:hAnsi="黑体" w:eastAsia="黑体" w:cs="黑体"/>
          <w:snapToGrid w:val="0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napToGrid w:val="0"/>
          <w:color w:val="000000"/>
          <w:kern w:val="0"/>
          <w:sz w:val="32"/>
          <w:szCs w:val="32"/>
          <w:lang w:val="en-US" w:eastAsia="zh-CN"/>
        </w:rPr>
        <w:t>附件2</w:t>
      </w:r>
    </w:p>
    <w:p w14:paraId="31A9F4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黑体" w:hAnsi="黑体" w:eastAsia="黑体" w:cs="黑体"/>
          <w:snapToGrid w:val="0"/>
          <w:color w:val="000000"/>
          <w:kern w:val="0"/>
          <w:sz w:val="32"/>
          <w:szCs w:val="32"/>
          <w:lang w:val="en-US" w:eastAsia="zh-CN"/>
        </w:rPr>
      </w:pPr>
    </w:p>
    <w:p w14:paraId="00FD71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left="0" w:leftChars="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snapToGrid w:val="0"/>
          <w:color w:val="000000"/>
          <w:kern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color w:val="231F20"/>
          <w:kern w:val="0"/>
          <w:sz w:val="44"/>
          <w:szCs w:val="44"/>
          <w:lang w:val="en-US" w:eastAsia="zh-CN" w:bidi="ar"/>
        </w:rPr>
        <w:t>2025年度被检查资产评估机构名单</w:t>
      </w:r>
    </w:p>
    <w:bookmarkEnd w:id="0"/>
    <w:p w14:paraId="17E218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国标黑体" w:hAnsi="国标黑体" w:eastAsia="国标黑体" w:cs="国标黑体"/>
          <w:sz w:val="32"/>
          <w:szCs w:val="32"/>
          <w:lang w:val="en-US" w:eastAsia="zh-CN"/>
        </w:rPr>
      </w:pPr>
    </w:p>
    <w:tbl>
      <w:tblPr>
        <w:tblStyle w:val="2"/>
        <w:tblW w:w="846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5626"/>
        <w:gridCol w:w="1755"/>
      </w:tblGrid>
      <w:tr w14:paraId="43D0C1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640E60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21DBF6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资产评估机构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310534C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备注</w:t>
            </w:r>
          </w:p>
        </w:tc>
      </w:tr>
      <w:tr w14:paraId="063A8F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55CA84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D05B3C8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山西金拇指资产评估有限公司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7A40C8A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285C7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A8FFF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EEF7B16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山西信威资产评估有限公司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F538AFB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CC067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F785D4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2742209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山西信瑞达资产评估事务所(普通合伙)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437D59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0C7A4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46752F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4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806408">
            <w:pPr>
              <w:tabs>
                <w:tab w:val="left" w:pos="1595"/>
              </w:tabs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  <w:lang w:eastAsia="zh-CN"/>
              </w:rPr>
              <w:t>山西恒信房地产资产评估有限公司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5E1AF7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1C605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9257062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5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1C28CE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山西丰瑞升资产评估有限公司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EFABB6F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E31001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5F50AF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6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1C43A0A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山西博丰资产评估事务所有限公司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47B70E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283BD4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3A429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7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05CB927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山西巨盛资产评估房地产估价有限公司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57BF13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0D43AE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03828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8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C2569DD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晋城浩云资产评估事务所有限公司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E9632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EA13A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D6C26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9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0382EF4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长治市诚信资产评估有限公司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22AE34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7ED0C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F39E94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10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16FC0D4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山西正祥源资产评估事务所(普通合伙)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B8B0BD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455EB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8B29B81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11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876B322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山西美信孚资产评估事务所（普通合伙）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394842D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08E25B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95688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12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6D0EA8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临汾博新资产评估有限责任公司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AAD586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016F1E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67CF0A5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13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AF46AC9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山西洪洞瑞合资产评估事务所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708831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0FF247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DCD2B7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14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F82CD56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山西振华资产评估有限公司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F45505E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515E9E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4F1BE4D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15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B29F844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山西通诚资产评估有限公司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5553B34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26013E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1EC36E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16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84011FF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山西博诚资产评估事务所(普通合伙)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AD0DB42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13406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D227C4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17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FEE1817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山西诚泽资产评估有限公司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F05C0F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C710EF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5CE0A11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18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DADFCB0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山西东诚资产评估咨询有限公司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73BD9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9D95BE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2CB437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19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F72A00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山西开永资产评估事务所（特殊普通合伙）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FB8C40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ADAEF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C7F9EC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20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1658FF6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山西万嘉资产评估事务所(普通合伙)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984B6BD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1B69B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6CB920B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21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44F3533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山西明达资产评估有限公司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C29825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2512BA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D6D275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22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7C15C4F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山西中凯资产评估有限公司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D14126C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0FE8F4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CF29A31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23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E2D086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山西鑫信达机动车资产鉴定评估有限公司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E262E35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E5C4E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3B6538A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24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DEAC662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山西思瑞资产评估事务所（普通合伙）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795BC4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9F59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83A09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25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883560C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山西迈达资产评估事务所有限公司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813289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AABE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01E042A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26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7766897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山西宏泰资产评估事务所（普通合伙）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99D9FC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C9CD1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131743E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27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2DA8BA6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太原市昕科源房地产评估有限公司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DC40C3A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1F396E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F4C412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28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5B9B85D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运城市正辰房地产资产评估有限公司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9BF4CB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D3117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6284C1B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29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5F6A2A4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山西金辉土地资产评估有限公司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4411B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0982BB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847CC8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30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0E3DD1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山西宏都房地产土地资产评估有限公司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B4027D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FE74A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C9C206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31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3AA3845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阳城县安信房地产资产评估有限公司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650DE15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22B3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72EF7BD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32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597C36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山西鑫盛房地产资产评估事务所（普通合伙）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5290E6E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34369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7525016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33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C310304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山西紫奇房地产资产评估有限公司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AD52315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2EBAB71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F5124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34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BFAF7DD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山西正平房地产资产评估有限公司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1EAEAA5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31F89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CB4F2E7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35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4EF74B7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安信房地产资产评估（山西）有限公司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2EA859B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E393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94E74CB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36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E0FF527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山西汇华资产评估有限公司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7FCA96D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F514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D221FBC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37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7DF49F4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山西中成房地产资产评估有限公司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88CC719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7D63B6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0EDA2C2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38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BA057E2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山西愚公资产评估有限公司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3E18F300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63AFFD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460FC24E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39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72094506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山西中汇资产评估有限公司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606393F4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  <w:tr w14:paraId="4AB60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08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0705CF42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40</w:t>
            </w:r>
          </w:p>
        </w:tc>
        <w:tc>
          <w:tcPr>
            <w:tcW w:w="5626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24CCB63F">
            <w:pPr>
              <w:spacing w:beforeLines="0" w:afterLines="0"/>
              <w:jc w:val="left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  <w:t>山西天晨资产评估有限公司</w:t>
            </w:r>
          </w:p>
        </w:tc>
        <w:tc>
          <w:tcPr>
            <w:tcW w:w="175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  <w:tl2br w:val="nil"/>
              <w:tr2bl w:val="nil"/>
            </w:tcBorders>
            <w:noWrap w:val="0"/>
            <w:vAlign w:val="center"/>
          </w:tcPr>
          <w:p w14:paraId="5DF5E9E8">
            <w:pPr>
              <w:spacing w:beforeLines="0" w:afterLines="0"/>
              <w:jc w:val="center"/>
              <w:rPr>
                <w:rFonts w:hint="eastAsia" w:ascii="仿宋" w:hAnsi="仿宋" w:eastAsia="仿宋" w:cs="仿宋"/>
                <w:color w:val="000000"/>
                <w:sz w:val="28"/>
                <w:szCs w:val="28"/>
              </w:rPr>
            </w:pPr>
          </w:p>
        </w:tc>
      </w:tr>
    </w:tbl>
    <w:p w14:paraId="7BA2B13A">
      <w:pPr>
        <w:adjustRightInd w:val="0"/>
        <w:snapToGrid w:val="0"/>
        <w:spacing w:line="20" w:lineRule="exact"/>
        <w:ind w:firstLine="640" w:firstLineChars="200"/>
        <w:rPr>
          <w:rFonts w:hint="eastAsia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</w:t>
      </w:r>
    </w:p>
    <w:p w14:paraId="04B6C31A">
      <w:pPr>
        <w:adjustRightInd w:val="0"/>
        <w:snapToGrid w:val="0"/>
        <w:spacing w:line="20" w:lineRule="exact"/>
        <w:ind w:firstLine="420" w:firstLineChars="200"/>
        <w:rPr>
          <w:rFonts w:hint="eastAsia"/>
        </w:rPr>
      </w:pPr>
    </w:p>
    <w:p w14:paraId="39C61346">
      <w:pPr>
        <w:adjustRightInd w:val="0"/>
        <w:snapToGrid w:val="0"/>
        <w:spacing w:line="20" w:lineRule="exact"/>
        <w:ind w:firstLine="420" w:firstLineChars="200"/>
        <w:rPr>
          <w:rFonts w:hint="eastAsia"/>
        </w:rPr>
      </w:pPr>
    </w:p>
    <w:p w14:paraId="2DFBEF3A">
      <w:pPr>
        <w:adjustRightInd w:val="0"/>
        <w:snapToGrid w:val="0"/>
        <w:spacing w:line="20" w:lineRule="exact"/>
        <w:ind w:firstLine="420" w:firstLineChars="200"/>
        <w:rPr>
          <w:rFonts w:hint="eastAsia"/>
        </w:rPr>
      </w:pPr>
    </w:p>
    <w:p w14:paraId="4EF526A4">
      <w:pPr>
        <w:adjustRightInd w:val="0"/>
        <w:snapToGrid w:val="0"/>
        <w:spacing w:line="20" w:lineRule="exact"/>
        <w:ind w:firstLine="420" w:firstLineChars="200"/>
        <w:rPr>
          <w:rFonts w:hint="eastAsia"/>
        </w:rPr>
      </w:pPr>
    </w:p>
    <w:p w14:paraId="3BA04190">
      <w:pPr>
        <w:adjustRightInd w:val="0"/>
        <w:snapToGrid w:val="0"/>
        <w:spacing w:line="20" w:lineRule="exact"/>
        <w:ind w:firstLine="420" w:firstLineChars="200"/>
        <w:rPr>
          <w:rFonts w:hint="eastAsia"/>
        </w:rPr>
      </w:pPr>
    </w:p>
    <w:p w14:paraId="269C8CE6">
      <w:pPr>
        <w:adjustRightInd w:val="0"/>
        <w:snapToGrid w:val="0"/>
        <w:spacing w:line="20" w:lineRule="exact"/>
        <w:ind w:firstLine="420" w:firstLineChars="200"/>
      </w:pPr>
    </w:p>
    <w:p w14:paraId="1C126E06">
      <w:pPr>
        <w:adjustRightInd w:val="0"/>
        <w:snapToGrid w:val="0"/>
        <w:spacing w:line="20" w:lineRule="exact"/>
        <w:ind w:firstLine="420" w:firstLineChars="200"/>
      </w:pPr>
    </w:p>
    <w:p w14:paraId="3C2D00E5">
      <w:pPr>
        <w:adjustRightInd w:val="0"/>
        <w:snapToGrid w:val="0"/>
        <w:spacing w:line="20" w:lineRule="exact"/>
        <w:ind w:firstLine="420" w:firstLineChars="200"/>
      </w:pPr>
    </w:p>
    <w:p w14:paraId="10482476">
      <w:pPr>
        <w:adjustRightInd w:val="0"/>
        <w:snapToGrid w:val="0"/>
        <w:spacing w:line="20" w:lineRule="exact"/>
        <w:ind w:firstLine="420" w:firstLineChars="200"/>
      </w:pPr>
    </w:p>
    <w:p w14:paraId="34E2D86A">
      <w:pPr>
        <w:adjustRightInd w:val="0"/>
        <w:snapToGrid w:val="0"/>
        <w:spacing w:line="20" w:lineRule="exact"/>
        <w:ind w:firstLine="420" w:firstLineChars="200"/>
      </w:pPr>
    </w:p>
    <w:p w14:paraId="7F99AEB2">
      <w:pPr>
        <w:adjustRightInd w:val="0"/>
        <w:snapToGrid w:val="0"/>
        <w:spacing w:line="20" w:lineRule="exact"/>
        <w:ind w:firstLine="420" w:firstLineChars="200"/>
      </w:pPr>
    </w:p>
    <w:p w14:paraId="0316DAE7">
      <w:pPr>
        <w:adjustRightInd w:val="0"/>
        <w:snapToGrid w:val="0"/>
        <w:spacing w:line="20" w:lineRule="exact"/>
        <w:ind w:firstLine="420" w:firstLineChars="200"/>
      </w:pPr>
    </w:p>
    <w:p w14:paraId="32DC6EA7">
      <w:pPr>
        <w:adjustRightInd w:val="0"/>
        <w:snapToGrid w:val="0"/>
        <w:spacing w:line="20" w:lineRule="exact"/>
        <w:ind w:firstLine="420" w:firstLineChars="200"/>
      </w:pPr>
    </w:p>
    <w:p w14:paraId="00E25578">
      <w:pPr>
        <w:adjustRightInd w:val="0"/>
        <w:snapToGrid w:val="0"/>
        <w:spacing w:line="20" w:lineRule="exact"/>
        <w:ind w:firstLine="420" w:firstLineChars="200"/>
      </w:pPr>
    </w:p>
    <w:p w14:paraId="75D4164F">
      <w:pPr>
        <w:adjustRightInd w:val="0"/>
        <w:snapToGrid w:val="0"/>
        <w:spacing w:line="20" w:lineRule="exact"/>
        <w:ind w:firstLine="420" w:firstLineChars="200"/>
      </w:pPr>
    </w:p>
    <w:p w14:paraId="4F716893">
      <w:pPr>
        <w:adjustRightInd w:val="0"/>
        <w:snapToGrid w:val="0"/>
        <w:spacing w:line="20" w:lineRule="exact"/>
        <w:ind w:firstLine="420" w:firstLineChars="200"/>
      </w:pPr>
    </w:p>
    <w:p w14:paraId="7A2ECD6B">
      <w:pPr>
        <w:adjustRightInd w:val="0"/>
        <w:snapToGrid w:val="0"/>
        <w:spacing w:line="20" w:lineRule="exact"/>
        <w:ind w:firstLine="420" w:firstLineChars="200"/>
      </w:pPr>
    </w:p>
    <w:p w14:paraId="1662DE0F">
      <w:pPr>
        <w:adjustRightInd w:val="0"/>
        <w:snapToGrid w:val="0"/>
        <w:spacing w:line="20" w:lineRule="exact"/>
        <w:ind w:firstLine="420" w:firstLineChars="200"/>
      </w:pPr>
    </w:p>
    <w:p w14:paraId="5B55C14F">
      <w:pPr>
        <w:adjustRightInd w:val="0"/>
        <w:snapToGrid w:val="0"/>
        <w:spacing w:line="20" w:lineRule="exact"/>
        <w:ind w:firstLine="420" w:firstLineChars="200"/>
      </w:pPr>
    </w:p>
    <w:p w14:paraId="27587E6B">
      <w:pPr>
        <w:adjustRightInd w:val="0"/>
        <w:snapToGrid w:val="0"/>
        <w:spacing w:line="20" w:lineRule="exact"/>
        <w:ind w:firstLine="420" w:firstLineChars="200"/>
      </w:pPr>
    </w:p>
    <w:p w14:paraId="76E0B925">
      <w:pPr>
        <w:adjustRightInd w:val="0"/>
        <w:snapToGrid w:val="0"/>
        <w:spacing w:line="20" w:lineRule="exact"/>
        <w:ind w:firstLine="420" w:firstLineChars="200"/>
      </w:pPr>
    </w:p>
    <w:p w14:paraId="6FB25A17">
      <w:pPr>
        <w:adjustRightInd w:val="0"/>
        <w:snapToGrid w:val="0"/>
        <w:spacing w:line="20" w:lineRule="exact"/>
        <w:ind w:firstLine="420" w:firstLineChars="200"/>
      </w:pPr>
    </w:p>
    <w:p w14:paraId="68BAD5EF">
      <w:pPr>
        <w:adjustRightInd w:val="0"/>
        <w:snapToGrid w:val="0"/>
        <w:spacing w:line="20" w:lineRule="exact"/>
        <w:ind w:firstLine="420" w:firstLineChars="200"/>
      </w:pPr>
    </w:p>
    <w:p w14:paraId="28B3D5D8">
      <w:pPr>
        <w:adjustRightInd w:val="0"/>
        <w:snapToGrid w:val="0"/>
        <w:spacing w:line="20" w:lineRule="exact"/>
        <w:ind w:firstLine="420" w:firstLineChars="200"/>
      </w:pPr>
    </w:p>
    <w:p w14:paraId="051D47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C28B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1FB8B7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0FCE7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14439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2743CD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7E7770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</w:p>
    <w:p w14:paraId="471B121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国标黑体">
    <w:altName w:val="黑体"/>
    <w:panose1 w:val="02000500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8B6F20"/>
    <w:rsid w:val="188B6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2025-06-23T06:45:00Z</dcterms:created>
  <dc:creator>王琛</dc:creator>
  <cp:lastModifiedBy>王琛</cp:lastModifiedBy>
  <dcterms:modified xsi:type="dcterms:W3CDTF">2025-06-23T06:46:10Z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31011017029C4406BC861E0A6E26B2FD_11</vt:lpwstr>
  </property>
  <property fmtid="{D5CDD505-2E9C-101B-9397-08002B2CF9AE}" pid="4" name="KSOTemplateDocerSaveRecord">
    <vt:lpwstr>eyJoZGlkIjoiNjYyYWFkYjNhZGE2NWQzNTVkNjg2Y2UzNjcxMDc3ZmUiLCJ1c2VySWQiOiI3MTUyNTI3NTEifQ==</vt:lpwstr>
  </property>
</Properties>
</file>