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595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附件</w:t>
      </w: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1</w:t>
      </w:r>
    </w:p>
    <w:p w14:paraId="0BF1F7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</w:pPr>
    </w:p>
    <w:p w14:paraId="2C130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山西省资产评估协会202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年培训计划</w:t>
      </w:r>
    </w:p>
    <w:p w14:paraId="14CC86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</w:p>
    <w:p w14:paraId="08D293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为适应资产评估行业服务经济社会发展要求，加强行业人才建设，切实做好行业人才培养工作，山西省资产评估协会（以下简称省评协）根据《中国资产评估协会202</w:t>
      </w: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5</w:t>
      </w: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年培训计划》《山西省资产评估协会执业会员继续教育实施办法》（以下简称《办法》）人才培养要求，结合我省实际，制定省评协202</w:t>
      </w: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5</w:t>
      </w: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年培训工作计划。</w:t>
      </w:r>
    </w:p>
    <w:p w14:paraId="4B56E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黑体" w:hAnsi="国标黑体" w:eastAsia="国标黑体" w:cs="国标黑体"/>
          <w:sz w:val="32"/>
          <w:szCs w:val="32"/>
          <w:lang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一、指导思想</w:t>
      </w:r>
    </w:p>
    <w:p w14:paraId="09B519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以习近平新时代中国特色社会主义思想为指导，全面贯彻落实党的二十大和二十届二中、三中全会精神，立足服务财政中心工作，根据《行业“十四五”规划》人才培养要求，以行业人才专业能力和综合素质提升为目标，分级分类开展高层次管理人才和业务骨干人才培养，加强评估基础理论及实务培训，拓展新业态新业务培训，坚持职业道德教育与专业胜任能力培养并重，创新培训内容、优化培训模式、强化培训管理，扎实做好行业人才队伍建设各项工作，努力实现行业继续教育工作高质量发展。</w:t>
      </w:r>
    </w:p>
    <w:p w14:paraId="52C491CB">
      <w:pPr>
        <w:adjustRightInd w:val="0"/>
        <w:snapToGrid w:val="0"/>
        <w:spacing w:line="560" w:lineRule="exact"/>
        <w:ind w:firstLine="640" w:firstLineChars="200"/>
        <w:rPr>
          <w:rFonts w:hint="eastAsia" w:ascii="国标黑体" w:hAnsi="国标黑体" w:eastAsia="国标黑体" w:cs="国标黑体"/>
          <w:sz w:val="32"/>
          <w:szCs w:val="32"/>
          <w:lang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二、总体要求</w:t>
      </w:r>
    </w:p>
    <w:p w14:paraId="49A65185">
      <w:pPr>
        <w:adjustRightInd w:val="0"/>
        <w:snapToGrid w:val="0"/>
        <w:spacing w:line="560" w:lineRule="exact"/>
        <w:ind w:firstLine="640" w:firstLineChars="200"/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1</w:t>
      </w: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.</w:t>
      </w:r>
      <w:r>
        <w:rPr>
          <w:rFonts w:hint="eastAsia" w:ascii="仿宋_GB2312" w:hAnsi="仿宋" w:eastAsia="仿宋_GB2312" w:cs="Times New Roman"/>
          <w:sz w:val="32"/>
          <w:szCs w:val="32"/>
        </w:rPr>
        <w:t>执业会员每年接受继续教育的时间累计不得少于60个学时（面授20学时+网络40学时）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国标仿宋" w:hAnsi="国标仿宋" w:eastAsia="国标仿宋" w:cs="国标仿宋"/>
          <w:sz w:val="32"/>
          <w:szCs w:val="32"/>
        </w:rPr>
        <w:t>本年度的继续教育学时仅在当年有效</w:t>
      </w: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。</w:t>
      </w:r>
    </w:p>
    <w:p w14:paraId="10DBBEDE">
      <w:pPr>
        <w:adjustRightInd w:val="0"/>
        <w:snapToGrid w:val="0"/>
        <w:spacing w:line="560" w:lineRule="exact"/>
        <w:ind w:firstLine="640" w:firstLineChars="200"/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面授培训班由中评协、省评协主办，网络在线教育由中评协委托北京、上海国家会计学院组织，每期面授培训班及网络培训都要进行结业考试，不合格的学员需再次参加培训。</w:t>
      </w:r>
    </w:p>
    <w:p w14:paraId="3AC73962">
      <w:pPr>
        <w:adjustRightInd w:val="0"/>
        <w:snapToGrid w:val="0"/>
        <w:spacing w:line="560" w:lineRule="exact"/>
        <w:ind w:firstLine="640" w:firstLineChars="200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2.具备内部培训资格的资产评估机构，请于5月15日前将培训计划报省评协培训二部。省评协将对培训计划、资金投入、教学设施、教师讲义、培训记录、员工日志、学习笔记等进行核查，对核查不符合规定的，给予行业内通报批评并取消其内部培训资格。</w:t>
      </w:r>
    </w:p>
    <w:p w14:paraId="78C187B3"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 xml:space="preserve">3.培训计划印发后，各评估机构要高度重视，根据计划合理安排，确保每名资产评估师高质量完成培训任务。 </w:t>
      </w:r>
    </w:p>
    <w:p w14:paraId="5CBB93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黑体" w:hAnsi="国标黑体" w:eastAsia="国标黑体" w:cs="国标黑体"/>
          <w:sz w:val="32"/>
          <w:szCs w:val="32"/>
          <w:lang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三、培训安排</w:t>
      </w:r>
    </w:p>
    <w:p w14:paraId="42BF6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1.参加中评协、省评协举办的面授班</w:t>
      </w:r>
    </w:p>
    <w:p w14:paraId="7840E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参加面授培训的执业会员需登录中评协网站点击“行业管理系统（http://47.94.2.36:8686/#/）→用户登录→继续教育→培训班报名”，按提示要求详细填写本人资料，报名成功后如因特殊原因无法参加培训班，应及时联系省评协培训部工作人员请假。</w:t>
      </w:r>
    </w:p>
    <w:p w14:paraId="23BAC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2.参加北京、上海国家会计学院网络继续教育</w:t>
      </w:r>
    </w:p>
    <w:p w14:paraId="4D3BE7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网络培训时间为2025年1月16日至12月31日。学员可任选北京国家会计学院（网址：http://zpx.e-nai.cn）或上海国家会计学院（网址：http://ce.esnai.net/c/cpvcas/）进行培训。执业会员使用本人会员编号（8位）和身份证号登录学习。高校资产评估专业教师及学生可使用本人身份证号登录学习。</w:t>
      </w:r>
    </w:p>
    <w:p w14:paraId="70DCB5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黑体" w:hAnsi="国标黑体" w:eastAsia="国标黑体" w:cs="国标黑体"/>
          <w:sz w:val="32"/>
          <w:szCs w:val="32"/>
          <w:lang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四、其他事项</w:t>
      </w:r>
    </w:p>
    <w:p w14:paraId="2C2D6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1.</w:t>
      </w: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按照《办法》相关规定，省评协对当年未完成继续教育规定学时的执业会员进行公告，并按相关规定处理。</w:t>
      </w:r>
    </w:p>
    <w:p w14:paraId="365A3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2.</w:t>
      </w: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省评协举办各期培训班，培训方式及培训时间以实际发布的通知为准。</w:t>
      </w:r>
    </w:p>
    <w:p w14:paraId="1716B0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国标仿宋" w:hAnsi="国标仿宋" w:eastAsia="国标仿宋" w:cs="国标仿宋"/>
          <w:sz w:val="32"/>
          <w:szCs w:val="32"/>
          <w:lang w:eastAsia="zh-CN"/>
        </w:rPr>
        <w:sectPr>
          <w:pgSz w:w="11906" w:h="16838"/>
          <w:pgMar w:top="2098" w:right="1474" w:bottom="1984" w:left="1587" w:header="720" w:footer="1417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省评协培训二部联系人：王星余</w:t>
      </w:r>
      <w:bookmarkStart w:id="0" w:name="_GoBack"/>
      <w:bookmarkEnd w:id="0"/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 xml:space="preserve"> </w:t>
      </w: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0351-5639</w:t>
      </w: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39</w:t>
      </w:r>
      <w:r>
        <w:rPr>
          <w:rFonts w:hint="eastAsia" w:ascii="国标仿宋" w:hAnsi="国标仿宋" w:eastAsia="国标仿宋" w:cs="国标仿宋"/>
          <w:sz w:val="32"/>
          <w:szCs w:val="32"/>
          <w:lang w:eastAsia="zh-CN"/>
        </w:rPr>
        <w:t>6</w:t>
      </w:r>
    </w:p>
    <w:p w14:paraId="46AB68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国标仿宋">
    <w:altName w:val="仿宋"/>
    <w:panose1 w:val="02000500000000000000"/>
    <w:charset w:val="86"/>
    <w:family w:val="auto"/>
    <w:pitch w:val="default"/>
    <w:sig w:usb0="00000000" w:usb1="00000000" w:usb2="00000016" w:usb3="00000000" w:csb0="00060007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040A23"/>
    <w:rsid w:val="24040A23"/>
    <w:rsid w:val="5AAB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3"/>
    <w:next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b/>
      <w:bCs w:val="0"/>
      <w:kern w:val="0"/>
      <w:sz w:val="36"/>
      <w:szCs w:val="36"/>
    </w:rPr>
  </w:style>
  <w:style w:type="paragraph" w:customStyle="1" w:styleId="3">
    <w:name w:val="Heading1"/>
    <w:basedOn w:val="4"/>
    <w:next w:val="2"/>
    <w:qFormat/>
    <w:uiPriority w:val="0"/>
    <w:pPr>
      <w:keepNext/>
      <w:keepLines/>
      <w:spacing w:before="340" w:after="330" w:line="578" w:lineRule="auto"/>
    </w:pPr>
    <w:rPr>
      <w:rFonts w:ascii="Calibri" w:hAnsi="Calibri" w:cs="Times New Roman"/>
      <w:b w:val="0"/>
      <w:bCs/>
      <w:kern w:val="44"/>
      <w:sz w:val="44"/>
      <w:szCs w:val="44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textAlignment w:val="baseline"/>
    </w:pPr>
    <w:rPr>
      <w:rFonts w:ascii="Arial" w:hAnsi="Arial" w:eastAsia="宋体"/>
      <w:b/>
      <w:sz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2025-04-01T07:10:00Z</dcterms:created>
  <dc:creator>王琛</dc:creator>
  <cp:lastModifiedBy>王琛</cp:lastModifiedBy>
  <dcterms:modified xsi:type="dcterms:W3CDTF">2025-04-01T07:10:41Z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C04E472B16724BA885EC12A861B3887D_11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